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4021F" w14:textId="77777777" w:rsidR="00C71539" w:rsidRDefault="00650B80">
      <w:pPr>
        <w:tabs>
          <w:tab w:val="center" w:pos="4253"/>
        </w:tabs>
        <w:jc w:val="center"/>
        <w:rPr>
          <w:rFonts w:ascii="Arial" w:eastAsia="Arial" w:hAnsi="Arial" w:cs="Arial"/>
          <w:b/>
          <w:sz w:val="28"/>
          <w:szCs w:val="28"/>
        </w:rPr>
      </w:pPr>
      <w:bookmarkStart w:id="0" w:name="_Hlk165997748"/>
      <w:bookmarkEnd w:id="0"/>
      <w:r>
        <w:rPr>
          <w:noProof/>
          <w:lang w:val="en-US" w:eastAsia="en-US"/>
        </w:rPr>
        <w:drawing>
          <wp:inline distT="0" distB="0" distL="0" distR="0" wp14:anchorId="7E617CFC" wp14:editId="7D04CE19">
            <wp:extent cx="755770" cy="75577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55770" cy="755770"/>
                    </a:xfrm>
                    <a:prstGeom prst="rect">
                      <a:avLst/>
                    </a:prstGeom>
                    <a:ln/>
                  </pic:spPr>
                </pic:pic>
              </a:graphicData>
            </a:graphic>
          </wp:inline>
        </w:drawing>
      </w:r>
      <w:r>
        <w:t xml:space="preserve">                                                                                               </w:t>
      </w:r>
      <w:r>
        <w:rPr>
          <w:noProof/>
          <w:lang w:val="en-US" w:eastAsia="en-US"/>
        </w:rPr>
        <w:drawing>
          <wp:inline distT="0" distB="0" distL="0" distR="0" wp14:anchorId="3C638D58" wp14:editId="523230F9">
            <wp:extent cx="1609526" cy="771479"/>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609526" cy="771479"/>
                    </a:xfrm>
                    <a:prstGeom prst="rect">
                      <a:avLst/>
                    </a:prstGeom>
                    <a:ln/>
                  </pic:spPr>
                </pic:pic>
              </a:graphicData>
            </a:graphic>
          </wp:inline>
        </w:drawing>
      </w:r>
    </w:p>
    <w:p w14:paraId="25324FE2" w14:textId="77777777" w:rsidR="00C71539" w:rsidRDefault="00C71539">
      <w:pPr>
        <w:jc w:val="center"/>
        <w:rPr>
          <w:rFonts w:ascii="Arial" w:eastAsia="Arial" w:hAnsi="Arial" w:cs="Arial"/>
          <w:b/>
          <w:sz w:val="28"/>
          <w:szCs w:val="28"/>
        </w:rPr>
      </w:pPr>
    </w:p>
    <w:p w14:paraId="162F44E1" w14:textId="77777777" w:rsidR="00C71539" w:rsidRDefault="00C71539">
      <w:pPr>
        <w:jc w:val="center"/>
        <w:rPr>
          <w:rFonts w:ascii="Arial" w:eastAsia="Arial" w:hAnsi="Arial" w:cs="Arial"/>
          <w:b/>
          <w:sz w:val="28"/>
          <w:szCs w:val="28"/>
          <w:highlight w:val="yellow"/>
        </w:rPr>
      </w:pPr>
    </w:p>
    <w:p w14:paraId="2E7232EC" w14:textId="77777777" w:rsidR="00C71539" w:rsidRDefault="00C71539">
      <w:pPr>
        <w:rPr>
          <w:rFonts w:ascii="Arial" w:eastAsia="Arial" w:hAnsi="Arial" w:cs="Arial"/>
          <w:b/>
          <w:sz w:val="28"/>
          <w:szCs w:val="28"/>
        </w:rPr>
      </w:pPr>
    </w:p>
    <w:p w14:paraId="6E1850A3" w14:textId="77777777" w:rsidR="00C71539" w:rsidRDefault="00650B80">
      <w:pPr>
        <w:jc w:val="center"/>
        <w:rPr>
          <w:rFonts w:ascii="Arial" w:eastAsia="Arial" w:hAnsi="Arial" w:cs="Arial"/>
          <w:sz w:val="28"/>
          <w:szCs w:val="28"/>
        </w:rPr>
      </w:pPr>
      <w:r>
        <w:rPr>
          <w:rFonts w:ascii="Arial" w:eastAsia="Arial" w:hAnsi="Arial" w:cs="Arial"/>
          <w:sz w:val="28"/>
          <w:szCs w:val="28"/>
        </w:rPr>
        <w:t>Universidad Nacional de Rosario</w:t>
      </w:r>
    </w:p>
    <w:p w14:paraId="35DA734E" w14:textId="77777777" w:rsidR="00C71539" w:rsidRDefault="00650B80">
      <w:pPr>
        <w:jc w:val="center"/>
        <w:rPr>
          <w:rFonts w:ascii="Arial" w:eastAsia="Arial" w:hAnsi="Arial" w:cs="Arial"/>
          <w:sz w:val="28"/>
          <w:szCs w:val="28"/>
        </w:rPr>
      </w:pPr>
      <w:r>
        <w:rPr>
          <w:rFonts w:ascii="Arial" w:eastAsia="Arial" w:hAnsi="Arial" w:cs="Arial"/>
          <w:sz w:val="28"/>
          <w:szCs w:val="28"/>
        </w:rPr>
        <w:t>Facultad de Ciencias Exactas, Ingeniería y Agrimensura</w:t>
      </w:r>
    </w:p>
    <w:p w14:paraId="18863501" w14:textId="77777777" w:rsidR="00C71539" w:rsidRDefault="00C71539">
      <w:pPr>
        <w:rPr>
          <w:rFonts w:ascii="Arial" w:eastAsia="Arial" w:hAnsi="Arial" w:cs="Arial"/>
          <w:sz w:val="24"/>
          <w:szCs w:val="24"/>
        </w:rPr>
      </w:pPr>
    </w:p>
    <w:p w14:paraId="6FAC2DA5" w14:textId="77777777" w:rsidR="00C71539" w:rsidRDefault="00C71539">
      <w:pPr>
        <w:tabs>
          <w:tab w:val="right" w:pos="4253"/>
          <w:tab w:val="left" w:pos="4281"/>
        </w:tabs>
        <w:rPr>
          <w:rFonts w:ascii="Arial" w:eastAsia="Arial" w:hAnsi="Arial" w:cs="Arial"/>
          <w:sz w:val="24"/>
          <w:szCs w:val="24"/>
        </w:rPr>
      </w:pPr>
    </w:p>
    <w:p w14:paraId="3B5FFB51" w14:textId="77777777" w:rsidR="00C71539" w:rsidRDefault="00C71539">
      <w:pPr>
        <w:tabs>
          <w:tab w:val="right" w:pos="4253"/>
          <w:tab w:val="left" w:pos="4281"/>
        </w:tabs>
        <w:rPr>
          <w:rFonts w:ascii="Arial" w:eastAsia="Arial" w:hAnsi="Arial" w:cs="Arial"/>
          <w:sz w:val="24"/>
          <w:szCs w:val="24"/>
        </w:rPr>
      </w:pPr>
    </w:p>
    <w:p w14:paraId="6C392D50" w14:textId="77777777" w:rsidR="00C71539" w:rsidRDefault="00C71539">
      <w:pPr>
        <w:tabs>
          <w:tab w:val="right" w:pos="4253"/>
          <w:tab w:val="left" w:pos="4281"/>
        </w:tabs>
        <w:rPr>
          <w:rFonts w:ascii="Arial" w:eastAsia="Arial" w:hAnsi="Arial" w:cs="Arial"/>
          <w:sz w:val="24"/>
          <w:szCs w:val="24"/>
        </w:rPr>
      </w:pPr>
    </w:p>
    <w:p w14:paraId="688C3C90" w14:textId="714987AF" w:rsidR="00C71539" w:rsidRDefault="00650B80">
      <w:pPr>
        <w:tabs>
          <w:tab w:val="right" w:pos="4253"/>
          <w:tab w:val="left" w:pos="4281"/>
        </w:tabs>
        <w:rPr>
          <w:rFonts w:ascii="Arial" w:eastAsia="Arial" w:hAnsi="Arial" w:cs="Arial"/>
          <w:sz w:val="24"/>
          <w:szCs w:val="24"/>
        </w:rPr>
      </w:pPr>
      <w:r>
        <w:rPr>
          <w:rFonts w:ascii="Arial" w:eastAsia="Arial" w:hAnsi="Arial" w:cs="Arial"/>
          <w:sz w:val="24"/>
          <w:szCs w:val="24"/>
        </w:rPr>
        <w:t>Actividad curricular:</w:t>
      </w:r>
      <w:r>
        <w:rPr>
          <w:rFonts w:ascii="Arial" w:eastAsia="Arial" w:hAnsi="Arial" w:cs="Arial"/>
          <w:sz w:val="24"/>
          <w:szCs w:val="24"/>
        </w:rPr>
        <w:tab/>
        <w:t xml:space="preserve"> </w:t>
      </w:r>
      <w:r w:rsidR="00995E4A">
        <w:rPr>
          <w:rFonts w:ascii="Arial" w:eastAsia="Arial" w:hAnsi="Arial" w:cs="Arial"/>
          <w:sz w:val="24"/>
          <w:szCs w:val="24"/>
        </w:rPr>
        <w:t>Fundamentos de las Comunicaciones Eléctricas</w:t>
      </w:r>
    </w:p>
    <w:p w14:paraId="66FC4CBB" w14:textId="6C7321BB" w:rsidR="00C71539" w:rsidRDefault="00650B80">
      <w:pPr>
        <w:tabs>
          <w:tab w:val="right" w:pos="4253"/>
          <w:tab w:val="left" w:pos="4281"/>
        </w:tabs>
        <w:rPr>
          <w:rFonts w:ascii="Arial" w:eastAsia="Arial" w:hAnsi="Arial" w:cs="Arial"/>
          <w:sz w:val="24"/>
          <w:szCs w:val="24"/>
        </w:rPr>
      </w:pPr>
      <w:r>
        <w:rPr>
          <w:rFonts w:ascii="Arial" w:eastAsia="Arial" w:hAnsi="Arial" w:cs="Arial"/>
          <w:sz w:val="24"/>
          <w:szCs w:val="24"/>
        </w:rPr>
        <w:t>Código: A</w:t>
      </w:r>
      <w:r w:rsidR="006A20FD">
        <w:rPr>
          <w:rFonts w:ascii="Arial" w:eastAsia="Arial" w:hAnsi="Arial" w:cs="Arial"/>
          <w:sz w:val="24"/>
          <w:szCs w:val="24"/>
        </w:rPr>
        <w:t>1</w:t>
      </w:r>
      <w:r w:rsidR="00995E4A">
        <w:rPr>
          <w:rFonts w:ascii="Arial" w:eastAsia="Arial" w:hAnsi="Arial" w:cs="Arial"/>
          <w:sz w:val="24"/>
          <w:szCs w:val="24"/>
        </w:rPr>
        <w:t>3</w:t>
      </w:r>
    </w:p>
    <w:p w14:paraId="6BDD5CEA" w14:textId="4A469AA9" w:rsidR="00995E4A" w:rsidRDefault="00995E4A">
      <w:pPr>
        <w:tabs>
          <w:tab w:val="right" w:pos="4253"/>
          <w:tab w:val="left" w:pos="4281"/>
        </w:tabs>
        <w:rPr>
          <w:rFonts w:ascii="Arial" w:eastAsia="Arial" w:hAnsi="Arial" w:cs="Arial"/>
          <w:sz w:val="24"/>
          <w:szCs w:val="24"/>
        </w:rPr>
      </w:pPr>
      <w:r>
        <w:rPr>
          <w:rFonts w:ascii="Arial" w:eastAsia="Arial" w:hAnsi="Arial" w:cs="Arial"/>
          <w:sz w:val="24"/>
          <w:szCs w:val="24"/>
        </w:rPr>
        <w:t>Módulo: Modulación Digital</w:t>
      </w:r>
    </w:p>
    <w:p w14:paraId="78189BC4" w14:textId="77777777" w:rsidR="00C71539" w:rsidRDefault="00C71539">
      <w:pPr>
        <w:jc w:val="center"/>
        <w:rPr>
          <w:rFonts w:ascii="Arial" w:eastAsia="Arial" w:hAnsi="Arial" w:cs="Arial"/>
          <w:sz w:val="24"/>
          <w:szCs w:val="24"/>
        </w:rPr>
      </w:pPr>
    </w:p>
    <w:p w14:paraId="631C9561" w14:textId="77777777" w:rsidR="00C71539" w:rsidRDefault="00C71539">
      <w:pPr>
        <w:jc w:val="center"/>
        <w:rPr>
          <w:rFonts w:ascii="Arial" w:eastAsia="Arial" w:hAnsi="Arial" w:cs="Arial"/>
          <w:sz w:val="24"/>
          <w:szCs w:val="24"/>
        </w:rPr>
      </w:pPr>
    </w:p>
    <w:p w14:paraId="5A9B88B9" w14:textId="77777777" w:rsidR="00C71539" w:rsidRDefault="00C71539">
      <w:pPr>
        <w:jc w:val="center"/>
        <w:rPr>
          <w:rFonts w:ascii="Arial" w:eastAsia="Arial" w:hAnsi="Arial" w:cs="Arial"/>
          <w:sz w:val="24"/>
          <w:szCs w:val="24"/>
        </w:rPr>
      </w:pPr>
    </w:p>
    <w:p w14:paraId="1BD8FCEC" w14:textId="4705BA0B" w:rsidR="00C71539" w:rsidRDefault="00650B80">
      <w:pPr>
        <w:jc w:val="center"/>
        <w:rPr>
          <w:rFonts w:ascii="Arial" w:eastAsia="Arial" w:hAnsi="Arial" w:cs="Arial"/>
          <w:sz w:val="40"/>
          <w:szCs w:val="40"/>
        </w:rPr>
      </w:pPr>
      <w:r>
        <w:rPr>
          <w:rFonts w:ascii="Arial" w:eastAsia="Arial" w:hAnsi="Arial" w:cs="Arial"/>
          <w:sz w:val="40"/>
          <w:szCs w:val="40"/>
        </w:rPr>
        <w:t xml:space="preserve">Trabajo Práctico </w:t>
      </w:r>
      <w:r w:rsidR="00884A0B">
        <w:rPr>
          <w:rFonts w:ascii="Arial" w:eastAsia="Arial" w:hAnsi="Arial" w:cs="Arial"/>
          <w:sz w:val="40"/>
          <w:szCs w:val="40"/>
        </w:rPr>
        <w:t xml:space="preserve">n° </w:t>
      </w:r>
      <w:r w:rsidR="003A415B">
        <w:rPr>
          <w:rFonts w:ascii="Arial" w:eastAsia="Arial" w:hAnsi="Arial" w:cs="Arial"/>
          <w:sz w:val="40"/>
          <w:szCs w:val="40"/>
        </w:rPr>
        <w:t>2</w:t>
      </w:r>
    </w:p>
    <w:p w14:paraId="6E6BA9CC" w14:textId="643BDD18" w:rsidR="00C71539" w:rsidRDefault="00650B80">
      <w:pPr>
        <w:jc w:val="center"/>
        <w:rPr>
          <w:rFonts w:ascii="Arial" w:eastAsia="Arial" w:hAnsi="Arial" w:cs="Arial"/>
          <w:sz w:val="24"/>
          <w:szCs w:val="24"/>
        </w:rPr>
      </w:pPr>
      <w:r>
        <w:rPr>
          <w:rFonts w:ascii="Arial" w:eastAsia="Arial" w:hAnsi="Arial" w:cs="Arial"/>
          <w:sz w:val="24"/>
          <w:szCs w:val="24"/>
        </w:rPr>
        <w:t>Revisión: 01</w:t>
      </w:r>
    </w:p>
    <w:p w14:paraId="12DBF8EB" w14:textId="77777777" w:rsidR="00931042" w:rsidRDefault="00931042">
      <w:pPr>
        <w:jc w:val="center"/>
        <w:rPr>
          <w:rFonts w:ascii="Arial" w:eastAsia="Arial" w:hAnsi="Arial" w:cs="Arial"/>
          <w:sz w:val="24"/>
          <w:szCs w:val="24"/>
        </w:rPr>
      </w:pPr>
    </w:p>
    <w:p w14:paraId="0DE448B3" w14:textId="77777777" w:rsidR="00931042" w:rsidRDefault="00931042" w:rsidP="00931042">
      <w:pPr>
        <w:jc w:val="center"/>
        <w:rPr>
          <w:rFonts w:ascii="Arial" w:eastAsia="Arial" w:hAnsi="Arial" w:cs="Arial"/>
          <w:sz w:val="24"/>
          <w:szCs w:val="24"/>
        </w:rPr>
      </w:pPr>
    </w:p>
    <w:p w14:paraId="6C315C4C" w14:textId="77777777" w:rsidR="00931042" w:rsidRDefault="00931042">
      <w:pPr>
        <w:rPr>
          <w:rFonts w:ascii="Arial" w:eastAsia="Arial" w:hAnsi="Arial" w:cs="Arial"/>
          <w:sz w:val="24"/>
          <w:szCs w:val="24"/>
        </w:rPr>
      </w:pPr>
    </w:p>
    <w:p w14:paraId="150BE27E" w14:textId="77777777" w:rsidR="00931042" w:rsidRDefault="00931042">
      <w:pPr>
        <w:rPr>
          <w:rFonts w:ascii="Arial" w:eastAsia="Arial" w:hAnsi="Arial" w:cs="Arial"/>
          <w:sz w:val="24"/>
          <w:szCs w:val="24"/>
        </w:rPr>
      </w:pPr>
    </w:p>
    <w:p w14:paraId="38D8B0AF" w14:textId="77777777" w:rsidR="00C71539" w:rsidRDefault="00650B80">
      <w:pPr>
        <w:rPr>
          <w:rFonts w:ascii="Arial" w:eastAsia="Arial" w:hAnsi="Arial" w:cs="Arial"/>
          <w:sz w:val="24"/>
          <w:szCs w:val="24"/>
        </w:rPr>
      </w:pPr>
      <w:r>
        <w:rPr>
          <w:rFonts w:ascii="Arial" w:eastAsia="Arial" w:hAnsi="Arial" w:cs="Arial"/>
          <w:sz w:val="24"/>
          <w:szCs w:val="24"/>
        </w:rPr>
        <w:t xml:space="preserve">Integrantes: </w:t>
      </w:r>
    </w:p>
    <w:p w14:paraId="53AB17C3" w14:textId="7BB4C7F8" w:rsidR="006A20FD" w:rsidRPr="006A20FD" w:rsidRDefault="00650B80" w:rsidP="006A20FD">
      <w:pPr>
        <w:numPr>
          <w:ilvl w:val="0"/>
          <w:numId w:val="1"/>
        </w:numPr>
        <w:pBdr>
          <w:top w:val="nil"/>
          <w:left w:val="nil"/>
          <w:bottom w:val="nil"/>
          <w:right w:val="nil"/>
          <w:between w:val="nil"/>
        </w:pBdr>
        <w:tabs>
          <w:tab w:val="left" w:pos="5103"/>
        </w:tabs>
        <w:spacing w:after="0"/>
        <w:rPr>
          <w:color w:val="000000"/>
          <w:sz w:val="24"/>
          <w:szCs w:val="24"/>
        </w:rPr>
      </w:pPr>
      <w:r>
        <w:rPr>
          <w:rFonts w:ascii="Arial" w:eastAsia="Arial" w:hAnsi="Arial" w:cs="Arial"/>
          <w:color w:val="000000"/>
          <w:sz w:val="24"/>
          <w:szCs w:val="24"/>
        </w:rPr>
        <w:t>SCOZZINA, Tomás Agustín</w:t>
      </w:r>
      <w:r>
        <w:rPr>
          <w:rFonts w:ascii="Arial" w:eastAsia="Arial" w:hAnsi="Arial" w:cs="Arial"/>
          <w:color w:val="000000"/>
          <w:sz w:val="24"/>
          <w:szCs w:val="24"/>
        </w:rPr>
        <w:tab/>
        <w:t>Legajo: S-5638/3</w:t>
      </w:r>
    </w:p>
    <w:p w14:paraId="64962D6E" w14:textId="65B4BF3B" w:rsidR="006A20FD" w:rsidRPr="006A20FD" w:rsidRDefault="006A20FD" w:rsidP="006A20FD">
      <w:pPr>
        <w:numPr>
          <w:ilvl w:val="0"/>
          <w:numId w:val="1"/>
        </w:numPr>
        <w:pBdr>
          <w:top w:val="nil"/>
          <w:left w:val="nil"/>
          <w:bottom w:val="nil"/>
          <w:right w:val="nil"/>
          <w:between w:val="nil"/>
        </w:pBdr>
        <w:tabs>
          <w:tab w:val="left" w:pos="5103"/>
        </w:tabs>
        <w:spacing w:after="0"/>
        <w:rPr>
          <w:color w:val="000000"/>
          <w:sz w:val="24"/>
          <w:szCs w:val="24"/>
        </w:rPr>
      </w:pPr>
      <w:r>
        <w:rPr>
          <w:rFonts w:ascii="Arial" w:eastAsia="Arial" w:hAnsi="Arial" w:cs="Arial"/>
          <w:color w:val="000000"/>
          <w:sz w:val="24"/>
          <w:szCs w:val="24"/>
        </w:rPr>
        <w:t>GONZALEZ, Joaquin</w:t>
      </w:r>
      <w:r>
        <w:rPr>
          <w:rFonts w:ascii="Arial" w:eastAsia="Arial" w:hAnsi="Arial" w:cs="Arial"/>
          <w:color w:val="000000"/>
          <w:sz w:val="24"/>
          <w:szCs w:val="24"/>
        </w:rPr>
        <w:tab/>
        <w:t xml:space="preserve">Legajo: </w:t>
      </w:r>
      <w:r w:rsidR="0018153D">
        <w:rPr>
          <w:rFonts w:ascii="Arial" w:eastAsia="Arial" w:hAnsi="Arial" w:cs="Arial"/>
          <w:color w:val="000000"/>
          <w:sz w:val="24"/>
          <w:szCs w:val="24"/>
        </w:rPr>
        <w:t>G-5767/3</w:t>
      </w:r>
    </w:p>
    <w:p w14:paraId="4F44F27C" w14:textId="507EE624" w:rsidR="006A20FD" w:rsidRPr="006A20FD" w:rsidRDefault="00995E4A" w:rsidP="006A20FD">
      <w:pPr>
        <w:numPr>
          <w:ilvl w:val="0"/>
          <w:numId w:val="1"/>
        </w:numPr>
        <w:pBdr>
          <w:top w:val="nil"/>
          <w:left w:val="nil"/>
          <w:bottom w:val="nil"/>
          <w:right w:val="nil"/>
          <w:between w:val="nil"/>
        </w:pBdr>
        <w:tabs>
          <w:tab w:val="left" w:pos="5103"/>
        </w:tabs>
        <w:rPr>
          <w:color w:val="000000"/>
          <w:sz w:val="24"/>
          <w:szCs w:val="24"/>
        </w:rPr>
      </w:pPr>
      <w:bookmarkStart w:id="1" w:name="_gjdgxs" w:colFirst="0" w:colLast="0"/>
      <w:bookmarkEnd w:id="1"/>
      <w:r>
        <w:rPr>
          <w:rFonts w:ascii="Arial" w:eastAsia="Arial" w:hAnsi="Arial" w:cs="Arial"/>
          <w:color w:val="000000"/>
          <w:sz w:val="24"/>
          <w:szCs w:val="24"/>
        </w:rPr>
        <w:t>VITALI, Francisco</w:t>
      </w:r>
      <w:r w:rsidR="00650B80">
        <w:rPr>
          <w:rFonts w:ascii="Arial" w:eastAsia="Arial" w:hAnsi="Arial" w:cs="Arial"/>
          <w:color w:val="000000"/>
          <w:sz w:val="24"/>
          <w:szCs w:val="24"/>
        </w:rPr>
        <w:tab/>
      </w:r>
      <w:r w:rsidRPr="00C3416D">
        <w:rPr>
          <w:rFonts w:ascii="Arial" w:hAnsi="Arial" w:cs="Arial"/>
          <w:color w:val="000000"/>
          <w:sz w:val="24"/>
          <w:szCs w:val="24"/>
        </w:rPr>
        <w:t>Legajo</w:t>
      </w:r>
      <w:r>
        <w:rPr>
          <w:rFonts w:ascii="Arial" w:hAnsi="Arial" w:cs="Arial"/>
          <w:color w:val="000000"/>
          <w:sz w:val="24"/>
          <w:szCs w:val="24"/>
        </w:rPr>
        <w:t xml:space="preserve">: </w:t>
      </w:r>
      <w:r w:rsidRPr="00C21A64">
        <w:rPr>
          <w:rFonts w:ascii="Arial" w:hAnsi="Arial" w:cs="Arial"/>
          <w:color w:val="000000"/>
          <w:sz w:val="24"/>
          <w:szCs w:val="24"/>
        </w:rPr>
        <w:t>V</w:t>
      </w:r>
      <w:r>
        <w:rPr>
          <w:rFonts w:ascii="Arial" w:hAnsi="Arial" w:cs="Arial"/>
          <w:color w:val="000000"/>
          <w:sz w:val="24"/>
          <w:szCs w:val="24"/>
        </w:rPr>
        <w:t>-</w:t>
      </w:r>
      <w:r w:rsidRPr="00C21A64">
        <w:rPr>
          <w:rFonts w:ascii="Arial" w:hAnsi="Arial" w:cs="Arial"/>
          <w:color w:val="000000"/>
          <w:sz w:val="24"/>
          <w:szCs w:val="24"/>
        </w:rPr>
        <w:t>2882/7</w:t>
      </w:r>
    </w:p>
    <w:p w14:paraId="514481E1" w14:textId="77777777" w:rsidR="00C71539" w:rsidRPr="00884A0B" w:rsidRDefault="00650B80" w:rsidP="00884A0B">
      <w:pPr>
        <w:rPr>
          <w:color w:val="000000"/>
          <w:sz w:val="24"/>
          <w:szCs w:val="24"/>
        </w:rPr>
      </w:pPr>
      <w:r>
        <w:rPr>
          <w:color w:val="000000"/>
          <w:sz w:val="24"/>
          <w:szCs w:val="24"/>
        </w:rPr>
        <w:br w:type="page"/>
      </w:r>
    </w:p>
    <w:bookmarkStart w:id="2" w:name="_30j0zll" w:colFirst="0" w:colLast="0" w:displacedByCustomXml="next"/>
    <w:bookmarkEnd w:id="2" w:displacedByCustomXml="next"/>
    <w:sdt>
      <w:sdtPr>
        <w:rPr>
          <w:rFonts w:ascii="Calibri" w:eastAsia="Calibri" w:hAnsi="Calibri" w:cs="Calibri"/>
          <w:color w:val="auto"/>
          <w:sz w:val="22"/>
          <w:szCs w:val="22"/>
          <w:lang w:val="es-ES"/>
        </w:rPr>
        <w:id w:val="200833949"/>
        <w:docPartObj>
          <w:docPartGallery w:val="Table of Contents"/>
          <w:docPartUnique/>
        </w:docPartObj>
      </w:sdtPr>
      <w:sdtEndPr>
        <w:rPr>
          <w:b/>
          <w:bCs/>
        </w:rPr>
      </w:sdtEndPr>
      <w:sdtContent>
        <w:p w14:paraId="4C377180" w14:textId="77777777" w:rsidR="00884A0B" w:rsidRDefault="00884A0B">
          <w:pPr>
            <w:pStyle w:val="TtuloTDC"/>
          </w:pPr>
          <w:r>
            <w:rPr>
              <w:lang w:val="es-ES"/>
            </w:rPr>
            <w:t>Índice</w:t>
          </w:r>
        </w:p>
        <w:p w14:paraId="2892D655" w14:textId="239F4E86" w:rsidR="00220C05" w:rsidRDefault="00884A0B">
          <w:pPr>
            <w:pStyle w:val="TDC1"/>
            <w:tabs>
              <w:tab w:val="right" w:leader="dot" w:pos="849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67542311" w:history="1">
            <w:r w:rsidR="00220C05" w:rsidRPr="002D207D">
              <w:rPr>
                <w:rStyle w:val="Hipervnculo"/>
                <w:noProof/>
              </w:rPr>
              <w:t>Modulación ADPCM (Adaptive Differential Pulse Code Modulation)</w:t>
            </w:r>
            <w:r w:rsidR="00220C05">
              <w:rPr>
                <w:noProof/>
                <w:webHidden/>
              </w:rPr>
              <w:tab/>
            </w:r>
            <w:r w:rsidR="00220C05">
              <w:rPr>
                <w:noProof/>
                <w:webHidden/>
              </w:rPr>
              <w:fldChar w:fldCharType="begin"/>
            </w:r>
            <w:r w:rsidR="00220C05">
              <w:rPr>
                <w:noProof/>
                <w:webHidden/>
              </w:rPr>
              <w:instrText xml:space="preserve"> PAGEREF _Toc167542311 \h </w:instrText>
            </w:r>
            <w:r w:rsidR="00220C05">
              <w:rPr>
                <w:noProof/>
                <w:webHidden/>
              </w:rPr>
            </w:r>
            <w:r w:rsidR="00220C05">
              <w:rPr>
                <w:noProof/>
                <w:webHidden/>
              </w:rPr>
              <w:fldChar w:fldCharType="separate"/>
            </w:r>
            <w:r w:rsidR="00220C05">
              <w:rPr>
                <w:noProof/>
                <w:webHidden/>
              </w:rPr>
              <w:t>3</w:t>
            </w:r>
            <w:r w:rsidR="00220C05">
              <w:rPr>
                <w:noProof/>
                <w:webHidden/>
              </w:rPr>
              <w:fldChar w:fldCharType="end"/>
            </w:r>
          </w:hyperlink>
        </w:p>
        <w:p w14:paraId="243554DF" w14:textId="537A33F2" w:rsidR="00220C05" w:rsidRDefault="00220C05">
          <w:pPr>
            <w:pStyle w:val="TDC2"/>
            <w:tabs>
              <w:tab w:val="right" w:leader="dot" w:pos="8495"/>
            </w:tabs>
            <w:rPr>
              <w:rFonts w:asciiTheme="minorHAnsi" w:eastAsiaTheme="minorEastAsia" w:hAnsiTheme="minorHAnsi" w:cstheme="minorBidi"/>
              <w:noProof/>
            </w:rPr>
          </w:pPr>
          <w:hyperlink w:anchor="_Toc167542312" w:history="1">
            <w:r w:rsidRPr="002D207D">
              <w:rPr>
                <w:rStyle w:val="Hipervnculo"/>
                <w:noProof/>
              </w:rPr>
              <w:t>Definición</w:t>
            </w:r>
            <w:r>
              <w:rPr>
                <w:noProof/>
                <w:webHidden/>
              </w:rPr>
              <w:tab/>
            </w:r>
            <w:r>
              <w:rPr>
                <w:noProof/>
                <w:webHidden/>
              </w:rPr>
              <w:fldChar w:fldCharType="begin"/>
            </w:r>
            <w:r>
              <w:rPr>
                <w:noProof/>
                <w:webHidden/>
              </w:rPr>
              <w:instrText xml:space="preserve"> PAGEREF _Toc167542312 \h </w:instrText>
            </w:r>
            <w:r>
              <w:rPr>
                <w:noProof/>
                <w:webHidden/>
              </w:rPr>
            </w:r>
            <w:r>
              <w:rPr>
                <w:noProof/>
                <w:webHidden/>
              </w:rPr>
              <w:fldChar w:fldCharType="separate"/>
            </w:r>
            <w:r>
              <w:rPr>
                <w:noProof/>
                <w:webHidden/>
              </w:rPr>
              <w:t>3</w:t>
            </w:r>
            <w:r>
              <w:rPr>
                <w:noProof/>
                <w:webHidden/>
              </w:rPr>
              <w:fldChar w:fldCharType="end"/>
            </w:r>
          </w:hyperlink>
        </w:p>
        <w:p w14:paraId="2D05A842" w14:textId="79403BAC" w:rsidR="00220C05" w:rsidRDefault="00220C05">
          <w:pPr>
            <w:pStyle w:val="TDC2"/>
            <w:tabs>
              <w:tab w:val="right" w:leader="dot" w:pos="8495"/>
            </w:tabs>
            <w:rPr>
              <w:rFonts w:asciiTheme="minorHAnsi" w:eastAsiaTheme="minorEastAsia" w:hAnsiTheme="minorHAnsi" w:cstheme="minorBidi"/>
              <w:noProof/>
            </w:rPr>
          </w:pPr>
          <w:hyperlink w:anchor="_Toc167542313" w:history="1">
            <w:r w:rsidRPr="002D207D">
              <w:rPr>
                <w:rStyle w:val="Hipervnculo"/>
                <w:noProof/>
              </w:rPr>
              <w:t>Comparación entre LDM y ADM</w:t>
            </w:r>
            <w:r>
              <w:rPr>
                <w:noProof/>
                <w:webHidden/>
              </w:rPr>
              <w:tab/>
            </w:r>
            <w:r>
              <w:rPr>
                <w:noProof/>
                <w:webHidden/>
              </w:rPr>
              <w:fldChar w:fldCharType="begin"/>
            </w:r>
            <w:r>
              <w:rPr>
                <w:noProof/>
                <w:webHidden/>
              </w:rPr>
              <w:instrText xml:space="preserve"> PAGEREF _Toc167542313 \h </w:instrText>
            </w:r>
            <w:r>
              <w:rPr>
                <w:noProof/>
                <w:webHidden/>
              </w:rPr>
            </w:r>
            <w:r>
              <w:rPr>
                <w:noProof/>
                <w:webHidden/>
              </w:rPr>
              <w:fldChar w:fldCharType="separate"/>
            </w:r>
            <w:r>
              <w:rPr>
                <w:noProof/>
                <w:webHidden/>
              </w:rPr>
              <w:t>3</w:t>
            </w:r>
            <w:r>
              <w:rPr>
                <w:noProof/>
                <w:webHidden/>
              </w:rPr>
              <w:fldChar w:fldCharType="end"/>
            </w:r>
          </w:hyperlink>
        </w:p>
        <w:p w14:paraId="35CF319E" w14:textId="2020E235" w:rsidR="00884A0B" w:rsidRDefault="00884A0B">
          <w:r>
            <w:rPr>
              <w:b/>
              <w:bCs/>
              <w:lang w:val="es-ES"/>
            </w:rPr>
            <w:fldChar w:fldCharType="end"/>
          </w:r>
        </w:p>
      </w:sdtContent>
    </w:sdt>
    <w:p w14:paraId="68AF597B" w14:textId="38C8D7E2" w:rsidR="00C71539" w:rsidRDefault="00650B80" w:rsidP="00995E4A">
      <w:pPr>
        <w:pStyle w:val="Ttulo1"/>
      </w:pPr>
      <w:r>
        <w:br w:type="page"/>
      </w:r>
      <w:bookmarkStart w:id="3" w:name="_Toc167542311"/>
      <w:r w:rsidR="00995E4A">
        <w:lastRenderedPageBreak/>
        <w:t xml:space="preserve">Modulación </w:t>
      </w:r>
      <w:r w:rsidR="004C254A" w:rsidRPr="004C254A">
        <w:t>ADPCM</w:t>
      </w:r>
      <w:r w:rsidR="00995E4A">
        <w:t xml:space="preserve"> </w:t>
      </w:r>
      <w:r w:rsidR="00995E4A" w:rsidRPr="004C254A">
        <w:rPr>
          <w:sz w:val="28"/>
        </w:rPr>
        <w:t>(</w:t>
      </w:r>
      <w:r w:rsidR="004C254A" w:rsidRPr="004C254A">
        <w:rPr>
          <w:sz w:val="28"/>
        </w:rPr>
        <w:t>Adaptive Differential Pulse Code Modulation</w:t>
      </w:r>
      <w:r w:rsidR="00995E4A" w:rsidRPr="004C254A">
        <w:rPr>
          <w:sz w:val="28"/>
        </w:rPr>
        <w:t>)</w:t>
      </w:r>
      <w:bookmarkEnd w:id="3"/>
    </w:p>
    <w:p w14:paraId="5A95A443" w14:textId="6417BD09" w:rsidR="00005954" w:rsidRDefault="00005954" w:rsidP="00005954">
      <w:pPr>
        <w:pStyle w:val="Ttulo2"/>
      </w:pPr>
      <w:bookmarkStart w:id="4" w:name="_Toc167542312"/>
      <w:r>
        <w:t>Definición</w:t>
      </w:r>
      <w:bookmarkEnd w:id="4"/>
    </w:p>
    <w:p w14:paraId="2288B853" w14:textId="6F797AB8" w:rsidR="004C254A" w:rsidRPr="005263A1" w:rsidRDefault="004C254A" w:rsidP="005263A1">
      <w:r w:rsidRPr="005263A1">
        <w:t xml:space="preserve">Para comenzar el informe se presenta una breve </w:t>
      </w:r>
      <w:r w:rsidR="005263A1" w:rsidRPr="005263A1">
        <w:t>definición</w:t>
      </w:r>
      <w:r w:rsidRPr="005263A1">
        <w:t xml:space="preserve"> de lo que significa la sigla </w:t>
      </w:r>
      <w:r w:rsidRPr="005263A1">
        <w:rPr>
          <w:highlight w:val="white"/>
          <w:lang w:val="es-ES"/>
        </w:rPr>
        <w:t>ADPCM</w:t>
      </w:r>
      <w:r w:rsidRPr="005263A1">
        <w:rPr>
          <w:lang w:val="es-ES"/>
        </w:rPr>
        <w:t xml:space="preserve"> y en que consiste dicha modulación.</w:t>
      </w:r>
    </w:p>
    <w:p w14:paraId="63C25B49" w14:textId="1B467619" w:rsidR="004C254A" w:rsidRPr="005263A1" w:rsidRDefault="004C254A" w:rsidP="005263A1">
      <w:pPr>
        <w:rPr>
          <w:color w:val="202122"/>
          <w:lang w:val="es-ES"/>
        </w:rPr>
      </w:pPr>
      <w:r w:rsidRPr="005263A1">
        <w:rPr>
          <w:highlight w:val="white"/>
          <w:lang w:val="es-ES"/>
        </w:rPr>
        <w:t xml:space="preserve">ADPCM (Adaptive Differential Pulse Code Modulation) es un codificador de forma de onda basado en </w:t>
      </w:r>
      <w:hyperlink r:id="rId10">
        <w:r w:rsidRPr="005263A1">
          <w:rPr>
            <w:highlight w:val="white"/>
            <w:lang w:val="es-ES"/>
          </w:rPr>
          <w:t>DPCM</w:t>
        </w:r>
      </w:hyperlink>
      <w:r w:rsidRPr="005263A1">
        <w:rPr>
          <w:highlight w:val="white"/>
        </w:rPr>
        <w:t xml:space="preserve"> (</w:t>
      </w:r>
      <w:r w:rsidRPr="005263A1">
        <w:rPr>
          <w:highlight w:val="white"/>
          <w:lang w:val="es-ES"/>
        </w:rPr>
        <w:t>Differential Pulse Code Modulation</w:t>
      </w:r>
      <w:r w:rsidRPr="005263A1">
        <w:rPr>
          <w:highlight w:val="white"/>
        </w:rPr>
        <w:t>)</w:t>
      </w:r>
      <w:r w:rsidRPr="005263A1">
        <w:rPr>
          <w:highlight w:val="white"/>
          <w:lang w:val="es-ES"/>
        </w:rPr>
        <w:t xml:space="preserve"> que añade algunas funcionalidades. Antes de la digitalización se toma la señal analógica y se divide en bandas de frecuencia gracias a los filtros </w:t>
      </w:r>
      <w:hyperlink r:id="rId11">
        <w:r w:rsidRPr="005263A1">
          <w:rPr>
            <w:highlight w:val="white"/>
            <w:lang w:val="es-ES"/>
          </w:rPr>
          <w:t>QMF</w:t>
        </w:r>
      </w:hyperlink>
      <w:r w:rsidRPr="005263A1">
        <w:rPr>
          <w:highlight w:val="white"/>
          <w:lang w:val="es-ES"/>
        </w:rPr>
        <w:t xml:space="preserve">(Quadrature Mirror Filter) y se obtienen sub-bandas de señal. Cada sub-banda es tratada de modo distinto, utilizando las propiedades de DPCM, se muestrea, se cuantifica el error de predicción y finalmente se codifica. </w:t>
      </w:r>
      <w:r w:rsidRPr="005263A1">
        <w:rPr>
          <w:color w:val="202122"/>
          <w:highlight w:val="white"/>
          <w:lang w:val="es-ES"/>
        </w:rPr>
        <w:t>Una vez que se obtiene la sucesión de bits (“bitstream”) de cada sub-banda, se multiplexan los resultados y ya se puede proceder a almacenar los datos o bien transmitirlos.</w:t>
      </w:r>
    </w:p>
    <w:p w14:paraId="063AE54F" w14:textId="6D2B888A" w:rsidR="000404C0" w:rsidRPr="008B336F" w:rsidRDefault="00AD6D76" w:rsidP="008B336F">
      <w:pPr>
        <w:pStyle w:val="Ttulo2"/>
      </w:pPr>
      <w:bookmarkStart w:id="5" w:name="_Toc167542313"/>
      <w:r>
        <w:t>Comparación entre LDM y ADM</w:t>
      </w:r>
      <w:bookmarkEnd w:id="5"/>
    </w:p>
    <w:p w14:paraId="4EA153B1" w14:textId="0B534470" w:rsidR="00AD6D76" w:rsidRPr="00220C05" w:rsidRDefault="00AD6D76" w:rsidP="004C254A">
      <w:pPr>
        <w:rPr>
          <w:u w:val="single"/>
          <w:lang w:val="es-ES"/>
        </w:rPr>
      </w:pPr>
      <w:r w:rsidRPr="00220C05">
        <w:rPr>
          <w:u w:val="single"/>
          <w:lang w:val="es-ES"/>
        </w:rPr>
        <w:t xml:space="preserve">Con valores por defecto: </w:t>
      </w:r>
    </w:p>
    <w:p w14:paraId="461B7FD4" w14:textId="2803B232" w:rsidR="00C50D82" w:rsidRDefault="00C50D82" w:rsidP="000404C0">
      <w:pPr>
        <w:rPr>
          <w:noProof/>
          <w:lang w:val="es-ES"/>
        </w:rPr>
      </w:pPr>
      <w:r>
        <w:rPr>
          <w:noProof/>
          <w:lang w:val="es-ES"/>
        </w:rPr>
        <w:drawing>
          <wp:inline distT="0" distB="0" distL="0" distR="0" wp14:anchorId="22062265" wp14:editId="601F093B">
            <wp:extent cx="2635267" cy="3233897"/>
            <wp:effectExtent l="19050" t="19050" r="12700" b="241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5656" cy="3234374"/>
                    </a:xfrm>
                    <a:prstGeom prst="rect">
                      <a:avLst/>
                    </a:prstGeom>
                    <a:ln>
                      <a:solidFill>
                        <a:schemeClr val="bg1">
                          <a:lumMod val="75000"/>
                        </a:schemeClr>
                      </a:solidFill>
                    </a:ln>
                  </pic:spPr>
                </pic:pic>
              </a:graphicData>
            </a:graphic>
          </wp:inline>
        </w:drawing>
      </w:r>
      <w:r>
        <w:rPr>
          <w:noProof/>
          <w:lang w:val="es-ES"/>
        </w:rPr>
        <w:t xml:space="preserve"> </w:t>
      </w:r>
      <w:r>
        <w:rPr>
          <w:noProof/>
          <w:lang w:val="es-ES"/>
        </w:rPr>
        <w:drawing>
          <wp:inline distT="0" distB="0" distL="0" distR="0" wp14:anchorId="6C8DD698" wp14:editId="7F79E02F">
            <wp:extent cx="2632203" cy="3230136"/>
            <wp:effectExtent l="19050" t="19050" r="15875" b="279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1600" cy="3241668"/>
                    </a:xfrm>
                    <a:prstGeom prst="rect">
                      <a:avLst/>
                    </a:prstGeom>
                    <a:ln>
                      <a:solidFill>
                        <a:schemeClr val="bg1">
                          <a:lumMod val="75000"/>
                        </a:schemeClr>
                      </a:solidFill>
                    </a:ln>
                  </pic:spPr>
                </pic:pic>
              </a:graphicData>
            </a:graphic>
          </wp:inline>
        </w:drawing>
      </w:r>
    </w:p>
    <w:p w14:paraId="30D7FB43" w14:textId="6D90A14D" w:rsidR="00C50D82" w:rsidRDefault="00C50D82" w:rsidP="000404C0">
      <w:pPr>
        <w:rPr>
          <w:noProof/>
          <w:lang w:val="es-ES"/>
        </w:rPr>
      </w:pPr>
    </w:p>
    <w:p w14:paraId="5C0C04CA" w14:textId="77777777" w:rsidR="00220C05" w:rsidRPr="00220C05" w:rsidRDefault="00C50D82" w:rsidP="000404C0">
      <w:pPr>
        <w:rPr>
          <w:noProof/>
          <w:u w:val="single"/>
          <w:lang w:val="es-ES"/>
        </w:rPr>
      </w:pPr>
      <w:r w:rsidRPr="00220C05">
        <w:rPr>
          <w:noProof/>
          <w:u w:val="single"/>
          <w:lang w:val="es-ES"/>
        </w:rPr>
        <w:t xml:space="preserve">Modificaciones en el parámetro delta D: </w:t>
      </w:r>
    </w:p>
    <w:p w14:paraId="60890659" w14:textId="303E2B33" w:rsidR="00C50D82" w:rsidRDefault="00C50D82" w:rsidP="000404C0">
      <w:pPr>
        <w:rPr>
          <w:noProof/>
          <w:lang w:val="es-ES"/>
        </w:rPr>
      </w:pPr>
      <w:r w:rsidRPr="00C50D82">
        <w:rPr>
          <w:noProof/>
          <w:lang w:val="es-ES"/>
        </w:rPr>
        <w:t>Ahora si modificamos el valor del escalón [D=1] de modulación Delta obtenemos:</w:t>
      </w:r>
    </w:p>
    <w:p w14:paraId="4A43DB69" w14:textId="2C753CAC" w:rsidR="00C50D82" w:rsidRDefault="00C50D82" w:rsidP="000404C0">
      <w:pPr>
        <w:rPr>
          <w:noProof/>
          <w:lang w:val="es-ES"/>
        </w:rPr>
      </w:pPr>
      <w:r>
        <w:rPr>
          <w:noProof/>
          <w:lang w:val="es-ES"/>
        </w:rPr>
        <w:lastRenderedPageBreak/>
        <w:drawing>
          <wp:inline distT="0" distB="0" distL="0" distR="0" wp14:anchorId="091C7F82" wp14:editId="663CF660">
            <wp:extent cx="2627194" cy="3223989"/>
            <wp:effectExtent l="19050" t="19050" r="20955" b="146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8063" cy="3298685"/>
                    </a:xfrm>
                    <a:prstGeom prst="rect">
                      <a:avLst/>
                    </a:prstGeom>
                    <a:ln>
                      <a:solidFill>
                        <a:schemeClr val="bg1">
                          <a:lumMod val="75000"/>
                        </a:schemeClr>
                      </a:solidFill>
                    </a:ln>
                  </pic:spPr>
                </pic:pic>
              </a:graphicData>
            </a:graphic>
          </wp:inline>
        </w:drawing>
      </w:r>
      <w:r>
        <w:rPr>
          <w:noProof/>
          <w:lang w:val="es-ES"/>
        </w:rPr>
        <w:t xml:space="preserve"> </w:t>
      </w:r>
      <w:r>
        <w:rPr>
          <w:noProof/>
          <w:lang w:val="es-ES"/>
        </w:rPr>
        <w:drawing>
          <wp:inline distT="0" distB="0" distL="0" distR="0" wp14:anchorId="6A0FEF95" wp14:editId="27739B12">
            <wp:extent cx="2628900" cy="3226082"/>
            <wp:effectExtent l="19050" t="19050" r="19050" b="1270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0512" cy="3252603"/>
                    </a:xfrm>
                    <a:prstGeom prst="rect">
                      <a:avLst/>
                    </a:prstGeom>
                    <a:ln>
                      <a:solidFill>
                        <a:schemeClr val="bg1">
                          <a:lumMod val="75000"/>
                        </a:schemeClr>
                      </a:solidFill>
                    </a:ln>
                  </pic:spPr>
                </pic:pic>
              </a:graphicData>
            </a:graphic>
          </wp:inline>
        </w:drawing>
      </w:r>
    </w:p>
    <w:p w14:paraId="71020E09" w14:textId="24E935D5" w:rsidR="000404C0" w:rsidRPr="00220C05" w:rsidRDefault="000404C0" w:rsidP="0006746E">
      <w:pPr>
        <w:jc w:val="both"/>
        <w:rPr>
          <w:color w:val="202122"/>
          <w:highlight w:val="white"/>
          <w:lang w:val="es-ES"/>
        </w:rPr>
      </w:pPr>
      <w:r w:rsidRPr="00220C05">
        <w:rPr>
          <w:color w:val="202122"/>
          <w:highlight w:val="white"/>
          <w:lang w:val="es-ES"/>
        </w:rPr>
        <w:t>Podemos observar con claridad que con un el valor del delta mayor el efecto del ruido granular se hará cada vez más notable, tomando valores cada vez más alejados de la señal original. También se puede observar un aumento en la cantidad de información transmitida. Sin embargo, para el caso adaptado una modificación en el delta base no implica un gran cambio en la señal modulada que obtendremos ya que este sistema se encarga de adaptar el delta de manera más eficiente para cada caso.</w:t>
      </w:r>
    </w:p>
    <w:p w14:paraId="1C1869DE" w14:textId="77777777" w:rsidR="0006746E" w:rsidRPr="00220C05" w:rsidRDefault="000404C0" w:rsidP="004C254A">
      <w:pPr>
        <w:rPr>
          <w:u w:val="single"/>
        </w:rPr>
      </w:pPr>
      <w:r w:rsidRPr="00220C05">
        <w:rPr>
          <w:u w:val="single"/>
        </w:rPr>
        <w:t>Modificaciones en el número de muestras M:</w:t>
      </w:r>
    </w:p>
    <w:p w14:paraId="5B003B75" w14:textId="18D35CAF" w:rsidR="00BB5E4C" w:rsidRDefault="0006746E" w:rsidP="004C254A">
      <w:pPr>
        <w:rPr>
          <w:u w:val="single"/>
        </w:rPr>
      </w:pPr>
      <w:r w:rsidRPr="0006746E">
        <w:rPr>
          <w:noProof/>
          <w:lang w:val="es-ES"/>
        </w:rPr>
        <w:t xml:space="preserve"> </w:t>
      </w:r>
      <w:r>
        <w:rPr>
          <w:noProof/>
          <w:lang w:val="es-ES"/>
        </w:rPr>
        <w:drawing>
          <wp:inline distT="0" distB="0" distL="0" distR="0" wp14:anchorId="6EB1382A" wp14:editId="243512F1">
            <wp:extent cx="2618497" cy="3213318"/>
            <wp:effectExtent l="19050" t="19050" r="10795" b="254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39777" cy="3239432"/>
                    </a:xfrm>
                    <a:prstGeom prst="rect">
                      <a:avLst/>
                    </a:prstGeom>
                    <a:ln>
                      <a:solidFill>
                        <a:schemeClr val="bg1">
                          <a:lumMod val="75000"/>
                        </a:schemeClr>
                      </a:solidFill>
                    </a:ln>
                  </pic:spPr>
                </pic:pic>
              </a:graphicData>
            </a:graphic>
          </wp:inline>
        </w:drawing>
      </w:r>
      <w:r>
        <w:rPr>
          <w:noProof/>
          <w:lang w:val="es-ES"/>
        </w:rPr>
        <w:t xml:space="preserve">  </w:t>
      </w:r>
      <w:r>
        <w:rPr>
          <w:noProof/>
          <w:lang w:val="es-ES"/>
        </w:rPr>
        <w:drawing>
          <wp:inline distT="0" distB="0" distL="0" distR="0" wp14:anchorId="4347C39D" wp14:editId="71C8F585">
            <wp:extent cx="2619037" cy="3213980"/>
            <wp:effectExtent l="19050" t="19050" r="10160" b="2476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50570" cy="3252676"/>
                    </a:xfrm>
                    <a:prstGeom prst="rect">
                      <a:avLst/>
                    </a:prstGeom>
                    <a:ln>
                      <a:solidFill>
                        <a:schemeClr val="bg1">
                          <a:lumMod val="75000"/>
                        </a:schemeClr>
                      </a:solidFill>
                    </a:ln>
                  </pic:spPr>
                </pic:pic>
              </a:graphicData>
            </a:graphic>
          </wp:inline>
        </w:drawing>
      </w:r>
    </w:p>
    <w:p w14:paraId="3D733F6E" w14:textId="5331316F" w:rsidR="00BB5E4C" w:rsidRDefault="00BB5E4C" w:rsidP="004C254A">
      <w:pPr>
        <w:rPr>
          <w:lang w:val="es-ES"/>
        </w:rPr>
      </w:pPr>
    </w:p>
    <w:p w14:paraId="2BC889A8" w14:textId="7D7A1DDD" w:rsidR="00BB5E4C" w:rsidRDefault="00BB5E4C" w:rsidP="004C254A">
      <w:pPr>
        <w:rPr>
          <w:lang w:val="es-ES"/>
        </w:rPr>
      </w:pPr>
    </w:p>
    <w:p w14:paraId="383C3695" w14:textId="77777777" w:rsidR="00BB5E4C" w:rsidRPr="00220C05" w:rsidRDefault="00BB5E4C" w:rsidP="0006746E">
      <w:pPr>
        <w:jc w:val="both"/>
        <w:rPr>
          <w:color w:val="202122"/>
          <w:highlight w:val="white"/>
          <w:lang w:val="es-ES"/>
        </w:rPr>
      </w:pPr>
      <w:r w:rsidRPr="00220C05">
        <w:rPr>
          <w:color w:val="202122"/>
          <w:highlight w:val="white"/>
          <w:lang w:val="es-ES"/>
        </w:rPr>
        <w:lastRenderedPageBreak/>
        <w:t xml:space="preserve">Podemos observar que a medida que disminuye el número de muestras, el efecto de la sobrecarga de pendiente se hace cada vez más notable, causando que la señal original se vea muy mal representada por este tipo de modulación. </w:t>
      </w:r>
    </w:p>
    <w:p w14:paraId="5949A384" w14:textId="54209B3D" w:rsidR="0006746E" w:rsidRPr="00220C05" w:rsidRDefault="00BB5E4C" w:rsidP="0006746E">
      <w:pPr>
        <w:jc w:val="both"/>
        <w:rPr>
          <w:color w:val="202122"/>
          <w:highlight w:val="white"/>
          <w:lang w:val="es-ES"/>
        </w:rPr>
      </w:pPr>
      <w:r w:rsidRPr="00220C05">
        <w:rPr>
          <w:color w:val="202122"/>
          <w:highlight w:val="white"/>
          <w:lang w:val="es-ES"/>
        </w:rPr>
        <w:t>Sin embargo, al aumentar el número de muestras vemos como no solo obtenemos una gráfica mucho más precisa, sino que también observamos un aumento en la transmisión de símbolos, lo que implica un aumento importante en el consumo de ancho de banda y en la cantidad de información transmitida. Esto último es mucho más notable en la modulación delta lineal que en la adaptada.</w:t>
      </w:r>
    </w:p>
    <w:p w14:paraId="5015B506" w14:textId="6BCE8C1B" w:rsidR="0006746E" w:rsidRDefault="00BB5E4C" w:rsidP="0006746E">
      <w:pPr>
        <w:jc w:val="both"/>
        <w:rPr>
          <w:color w:val="202122"/>
          <w:sz w:val="21"/>
          <w:szCs w:val="21"/>
          <w:highlight w:val="white"/>
          <w:u w:val="single"/>
          <w:lang w:val="es-ES"/>
        </w:rPr>
      </w:pPr>
      <w:r w:rsidRPr="00BB5E4C">
        <w:rPr>
          <w:color w:val="202122"/>
          <w:sz w:val="21"/>
          <w:szCs w:val="21"/>
          <w:highlight w:val="white"/>
          <w:u w:val="single"/>
          <w:lang w:val="es-ES"/>
        </w:rPr>
        <w:t>Finalmente, si modificamos los valores de Amplitud</w:t>
      </w:r>
      <w:r>
        <w:rPr>
          <w:color w:val="202122"/>
          <w:sz w:val="21"/>
          <w:szCs w:val="21"/>
          <w:highlight w:val="white"/>
          <w:u w:val="single"/>
          <w:lang w:val="es-ES"/>
        </w:rPr>
        <w:t>, por encima y por debajo del valor default</w:t>
      </w:r>
      <w:r w:rsidRPr="00BB5E4C">
        <w:rPr>
          <w:color w:val="202122"/>
          <w:sz w:val="21"/>
          <w:szCs w:val="21"/>
          <w:highlight w:val="white"/>
          <w:u w:val="single"/>
          <w:lang w:val="es-ES"/>
        </w:rPr>
        <w:t>:</w:t>
      </w:r>
    </w:p>
    <w:p w14:paraId="36BFC782" w14:textId="6DECA43C" w:rsidR="00220C05" w:rsidRDefault="0006746E" w:rsidP="0006746E">
      <w:pPr>
        <w:jc w:val="both"/>
        <w:rPr>
          <w:color w:val="202122"/>
          <w:sz w:val="21"/>
          <w:szCs w:val="21"/>
          <w:highlight w:val="white"/>
          <w:lang w:val="es-ES"/>
        </w:rPr>
      </w:pPr>
      <w:r>
        <w:rPr>
          <w:noProof/>
          <w:lang w:val="es-ES"/>
        </w:rPr>
        <w:drawing>
          <wp:inline distT="0" distB="0" distL="0" distR="0" wp14:anchorId="48289919" wp14:editId="7960C51A">
            <wp:extent cx="2622928" cy="3218754"/>
            <wp:effectExtent l="19050" t="19050" r="25400" b="203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33655" cy="3231918"/>
                    </a:xfrm>
                    <a:prstGeom prst="rect">
                      <a:avLst/>
                    </a:prstGeom>
                    <a:ln>
                      <a:solidFill>
                        <a:schemeClr val="bg1">
                          <a:lumMod val="75000"/>
                        </a:schemeClr>
                      </a:solidFill>
                    </a:ln>
                  </pic:spPr>
                </pic:pic>
              </a:graphicData>
            </a:graphic>
          </wp:inline>
        </w:drawing>
      </w:r>
      <w:r>
        <w:rPr>
          <w:color w:val="202122"/>
          <w:sz w:val="21"/>
          <w:szCs w:val="21"/>
          <w:highlight w:val="white"/>
          <w:lang w:val="es-ES"/>
        </w:rPr>
        <w:t xml:space="preserve"> </w:t>
      </w:r>
      <w:r>
        <w:rPr>
          <w:noProof/>
          <w:lang w:val="es-ES"/>
        </w:rPr>
        <w:drawing>
          <wp:inline distT="0" distB="0" distL="0" distR="0" wp14:anchorId="43CC29E4" wp14:editId="025E4FDB">
            <wp:extent cx="2625505" cy="3221916"/>
            <wp:effectExtent l="19050" t="19050" r="22860" b="171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47815" cy="3249294"/>
                    </a:xfrm>
                    <a:prstGeom prst="rect">
                      <a:avLst/>
                    </a:prstGeom>
                    <a:ln>
                      <a:solidFill>
                        <a:schemeClr val="bg1">
                          <a:lumMod val="75000"/>
                        </a:schemeClr>
                      </a:solidFill>
                    </a:ln>
                  </pic:spPr>
                </pic:pic>
              </a:graphicData>
            </a:graphic>
          </wp:inline>
        </w:drawing>
      </w:r>
    </w:p>
    <w:p w14:paraId="27981B42" w14:textId="6A973308" w:rsidR="0006746E" w:rsidRPr="00220C05" w:rsidRDefault="0006746E" w:rsidP="0006746E">
      <w:pPr>
        <w:jc w:val="both"/>
        <w:rPr>
          <w:color w:val="202122"/>
          <w:sz w:val="21"/>
          <w:szCs w:val="21"/>
          <w:highlight w:val="white"/>
          <w:lang w:val="es-ES"/>
        </w:rPr>
      </w:pPr>
      <w:r w:rsidRPr="0006746E">
        <w:rPr>
          <w:noProof/>
          <w:color w:val="202122"/>
          <w:sz w:val="21"/>
          <w:szCs w:val="21"/>
          <w:lang w:val="es-ES"/>
        </w:rPr>
        <w:drawing>
          <wp:inline distT="0" distB="0" distL="0" distR="0" wp14:anchorId="3C7111FB" wp14:editId="35573314">
            <wp:extent cx="2622550" cy="3184679"/>
            <wp:effectExtent l="19050" t="19050" r="25400" b="158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53531" cy="3222301"/>
                    </a:xfrm>
                    <a:prstGeom prst="rect">
                      <a:avLst/>
                    </a:prstGeom>
                    <a:ln>
                      <a:solidFill>
                        <a:schemeClr val="bg1">
                          <a:lumMod val="75000"/>
                        </a:schemeClr>
                      </a:solidFill>
                    </a:ln>
                  </pic:spPr>
                </pic:pic>
              </a:graphicData>
            </a:graphic>
          </wp:inline>
        </w:drawing>
      </w:r>
      <w:r w:rsidR="00220C05">
        <w:rPr>
          <w:color w:val="202122"/>
          <w:sz w:val="21"/>
          <w:szCs w:val="21"/>
          <w:highlight w:val="white"/>
          <w:lang w:val="es-ES"/>
        </w:rPr>
        <w:t xml:space="preserve"> </w:t>
      </w:r>
      <w:r w:rsidR="00220C05" w:rsidRPr="00220C05">
        <w:rPr>
          <w:noProof/>
          <w:color w:val="202122"/>
          <w:sz w:val="21"/>
          <w:szCs w:val="21"/>
          <w:lang w:val="es-ES"/>
        </w:rPr>
        <w:drawing>
          <wp:inline distT="0" distB="0" distL="0" distR="0" wp14:anchorId="303470B1" wp14:editId="77017B68">
            <wp:extent cx="2625090" cy="3187764"/>
            <wp:effectExtent l="19050" t="19050" r="22860" b="127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54114" cy="3223010"/>
                    </a:xfrm>
                    <a:prstGeom prst="rect">
                      <a:avLst/>
                    </a:prstGeom>
                    <a:ln>
                      <a:solidFill>
                        <a:schemeClr val="bg1">
                          <a:lumMod val="75000"/>
                        </a:schemeClr>
                      </a:solidFill>
                    </a:ln>
                  </pic:spPr>
                </pic:pic>
              </a:graphicData>
            </a:graphic>
          </wp:inline>
        </w:drawing>
      </w:r>
    </w:p>
    <w:p w14:paraId="546E9D85" w14:textId="509D3264" w:rsidR="00BB5E4C" w:rsidRPr="00220C05" w:rsidRDefault="00BB5E4C" w:rsidP="00BB5E4C">
      <w:pPr>
        <w:jc w:val="both"/>
        <w:rPr>
          <w:color w:val="202122"/>
          <w:highlight w:val="white"/>
          <w:lang w:val="es-ES"/>
        </w:rPr>
      </w:pPr>
      <w:r w:rsidRPr="00220C05">
        <w:rPr>
          <w:color w:val="202122"/>
          <w:highlight w:val="white"/>
          <w:lang w:val="es-ES"/>
        </w:rPr>
        <w:lastRenderedPageBreak/>
        <w:t xml:space="preserve">Al aumentar los valores máximos de amplitud de la señal podemos darnos cuenta que el principal efecto es que se modifica el error por sobrecarga de pendiente. Si tomamos valores máximos de amplitud de gran magnitud la pendiente de la señal será lo suficientemente alta como para que le sea dificultoso a la modulación delta alcanzarla, con lo que será muy factible una mala representación por parte de la señal modulada a causa del error por sobrecarga de pendiente. </w:t>
      </w:r>
    </w:p>
    <w:p w14:paraId="329DE6E3" w14:textId="77777777" w:rsidR="00BB5E4C" w:rsidRPr="00220C05" w:rsidRDefault="00BB5E4C" w:rsidP="00BB5E4C">
      <w:pPr>
        <w:jc w:val="both"/>
        <w:rPr>
          <w:color w:val="202122"/>
          <w:highlight w:val="white"/>
          <w:lang w:val="es-ES"/>
        </w:rPr>
      </w:pPr>
      <w:r w:rsidRPr="00220C05">
        <w:rPr>
          <w:color w:val="202122"/>
          <w:highlight w:val="white"/>
          <w:lang w:val="es-ES"/>
        </w:rPr>
        <w:t xml:space="preserve">Nuevamente, esto es algo que afecta principalmente a la modulación delta lineal ya que en la versión adaptada se intenta corregir estos cambios bruscos que sufre la señal original. </w:t>
      </w:r>
    </w:p>
    <w:p w14:paraId="3840D99C" w14:textId="01F0558C" w:rsidR="00BB5E4C" w:rsidRPr="00220C05" w:rsidRDefault="00BB5E4C" w:rsidP="00220C05">
      <w:pPr>
        <w:jc w:val="both"/>
        <w:rPr>
          <w:color w:val="202122"/>
          <w:highlight w:val="white"/>
          <w:lang w:val="es-ES"/>
        </w:rPr>
      </w:pPr>
      <w:r w:rsidRPr="00220C05">
        <w:rPr>
          <w:color w:val="202122"/>
          <w:highlight w:val="white"/>
          <w:lang w:val="es-ES"/>
        </w:rPr>
        <w:t>El sistema ADPCM funciona de manera de hacer que el salto de la escalera que se utiliza en la construcción de la señal modulada sea variable de acuerdo con la señal de entrada, entonces cuando la distorsión por sobrecarga es dominante frente al ruido granular, el tamaño del escalón se hace más grande y su valor se reduce cuando el ruido granular es dominante, de esta manera reducimos los problemas de la modulación delta.</w:t>
      </w:r>
      <w:bookmarkStart w:id="6" w:name="_GoBack"/>
      <w:bookmarkEnd w:id="6"/>
    </w:p>
    <w:sectPr w:rsidR="00BB5E4C" w:rsidRPr="00220C05">
      <w:footerReference w:type="default" r:id="rId22"/>
      <w:pgSz w:w="11907" w:h="16840"/>
      <w:pgMar w:top="1417" w:right="1701" w:bottom="1417"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658BB" w14:textId="77777777" w:rsidR="00595F9B" w:rsidRDefault="00595F9B">
      <w:pPr>
        <w:spacing w:after="0" w:line="240" w:lineRule="auto"/>
      </w:pPr>
      <w:r>
        <w:separator/>
      </w:r>
    </w:p>
  </w:endnote>
  <w:endnote w:type="continuationSeparator" w:id="0">
    <w:p w14:paraId="534B406F" w14:textId="77777777" w:rsidR="00595F9B" w:rsidRDefault="00595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FB05D" w14:textId="00B0143E" w:rsidR="00502183" w:rsidRDefault="00502183">
    <w:pPr>
      <w:pBdr>
        <w:top w:val="nil"/>
        <w:left w:val="nil"/>
        <w:bottom w:val="nil"/>
        <w:right w:val="nil"/>
        <w:between w:val="nil"/>
      </w:pBd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BB5E4C">
      <w:rPr>
        <w:b/>
        <w:noProof/>
        <w:color w:val="000000"/>
        <w:sz w:val="24"/>
        <w:szCs w:val="24"/>
      </w:rPr>
      <w:t>9</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BB5E4C">
      <w:rPr>
        <w:b/>
        <w:noProof/>
        <w:color w:val="000000"/>
        <w:sz w:val="24"/>
        <w:szCs w:val="24"/>
      </w:rPr>
      <w:t>9</w:t>
    </w:r>
    <w:r>
      <w:rPr>
        <w:b/>
        <w:color w:val="000000"/>
        <w:sz w:val="24"/>
        <w:szCs w:val="24"/>
      </w:rPr>
      <w:fldChar w:fldCharType="end"/>
    </w:r>
  </w:p>
  <w:p w14:paraId="6AFDC0AA" w14:textId="77777777" w:rsidR="00502183" w:rsidRDefault="00502183">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9A5DF" w14:textId="77777777" w:rsidR="00595F9B" w:rsidRDefault="00595F9B">
      <w:pPr>
        <w:spacing w:after="0" w:line="240" w:lineRule="auto"/>
      </w:pPr>
      <w:r>
        <w:separator/>
      </w:r>
    </w:p>
  </w:footnote>
  <w:footnote w:type="continuationSeparator" w:id="0">
    <w:p w14:paraId="60822562" w14:textId="77777777" w:rsidR="00595F9B" w:rsidRDefault="00595F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B23F7"/>
    <w:multiLevelType w:val="multilevel"/>
    <w:tmpl w:val="C94E36F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FA7996"/>
    <w:multiLevelType w:val="hybridMultilevel"/>
    <w:tmpl w:val="A64084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5355E0E"/>
    <w:multiLevelType w:val="multilevel"/>
    <w:tmpl w:val="FECECD7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B2A7014"/>
    <w:multiLevelType w:val="hybridMultilevel"/>
    <w:tmpl w:val="53181DB6"/>
    <w:lvl w:ilvl="0" w:tplc="0409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D216D94"/>
    <w:multiLevelType w:val="hybridMultilevel"/>
    <w:tmpl w:val="2BA0FB1C"/>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202139B"/>
    <w:multiLevelType w:val="hybridMultilevel"/>
    <w:tmpl w:val="A0B84C0A"/>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B1E71DF"/>
    <w:multiLevelType w:val="hybridMultilevel"/>
    <w:tmpl w:val="16E843EC"/>
    <w:lvl w:ilvl="0" w:tplc="48543552">
      <w:numFmt w:val="bullet"/>
      <w:lvlText w:val=""/>
      <w:lvlJc w:val="left"/>
      <w:pPr>
        <w:ind w:left="720" w:hanging="360"/>
      </w:pPr>
      <w:rPr>
        <w:rFonts w:ascii="Symbol" w:eastAsia="Calibri" w:hAnsi="Symbol"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2816777"/>
    <w:multiLevelType w:val="multilevel"/>
    <w:tmpl w:val="023E40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8CB2DF1"/>
    <w:multiLevelType w:val="hybridMultilevel"/>
    <w:tmpl w:val="A244AF0E"/>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9" w15:restartNumberingAfterBreak="0">
    <w:nsid w:val="662A2A69"/>
    <w:multiLevelType w:val="hybridMultilevel"/>
    <w:tmpl w:val="6CAA309C"/>
    <w:lvl w:ilvl="0" w:tplc="0409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6C26F79"/>
    <w:multiLevelType w:val="multilevel"/>
    <w:tmpl w:val="D24ADFD4"/>
    <w:lvl w:ilvl="0">
      <w:start w:val="1"/>
      <w:numFmt w:val="upperLetter"/>
      <w:lvlText w:val="%1)"/>
      <w:lvlJc w:val="left"/>
      <w:pPr>
        <w:ind w:left="2520" w:hanging="360"/>
      </w:pPr>
      <w:rPr>
        <w:b/>
        <w:u w:val="none"/>
      </w:rPr>
    </w:lvl>
    <w:lvl w:ilvl="1">
      <w:start w:val="1"/>
      <w:numFmt w:val="lowerLetter"/>
      <w:lvlText w:val="%2)"/>
      <w:lvlJc w:val="left"/>
      <w:pPr>
        <w:ind w:left="3240" w:hanging="360"/>
      </w:pPr>
      <w:rPr>
        <w:u w:val="none"/>
      </w:rPr>
    </w:lvl>
    <w:lvl w:ilvl="2">
      <w:start w:val="1"/>
      <w:numFmt w:val="lowerRoman"/>
      <w:lvlText w:val="%3)"/>
      <w:lvlJc w:val="right"/>
      <w:pPr>
        <w:ind w:left="3960" w:hanging="360"/>
      </w:pPr>
      <w:rPr>
        <w:u w:val="none"/>
      </w:rPr>
    </w:lvl>
    <w:lvl w:ilvl="3">
      <w:start w:val="1"/>
      <w:numFmt w:val="decimal"/>
      <w:lvlText w:val="(%4)"/>
      <w:lvlJc w:val="left"/>
      <w:pPr>
        <w:ind w:left="4680" w:hanging="360"/>
      </w:pPr>
      <w:rPr>
        <w:u w:val="none"/>
      </w:rPr>
    </w:lvl>
    <w:lvl w:ilvl="4">
      <w:start w:val="1"/>
      <w:numFmt w:val="lowerLetter"/>
      <w:lvlText w:val="(%5)"/>
      <w:lvlJc w:val="left"/>
      <w:pPr>
        <w:ind w:left="5400" w:hanging="360"/>
      </w:pPr>
      <w:rPr>
        <w:u w:val="none"/>
      </w:rPr>
    </w:lvl>
    <w:lvl w:ilvl="5">
      <w:start w:val="1"/>
      <w:numFmt w:val="lowerRoman"/>
      <w:lvlText w:val="(%6)"/>
      <w:lvlJc w:val="right"/>
      <w:pPr>
        <w:ind w:left="6120" w:hanging="360"/>
      </w:pPr>
      <w:rPr>
        <w:u w:val="none"/>
      </w:rPr>
    </w:lvl>
    <w:lvl w:ilvl="6">
      <w:start w:val="1"/>
      <w:numFmt w:val="decimal"/>
      <w:lvlText w:val="%7."/>
      <w:lvlJc w:val="left"/>
      <w:pPr>
        <w:ind w:left="6840" w:hanging="360"/>
      </w:pPr>
      <w:rPr>
        <w:u w:val="none"/>
      </w:rPr>
    </w:lvl>
    <w:lvl w:ilvl="7">
      <w:start w:val="1"/>
      <w:numFmt w:val="lowerLetter"/>
      <w:lvlText w:val="%8."/>
      <w:lvlJc w:val="left"/>
      <w:pPr>
        <w:ind w:left="7560" w:hanging="360"/>
      </w:pPr>
      <w:rPr>
        <w:u w:val="none"/>
      </w:rPr>
    </w:lvl>
    <w:lvl w:ilvl="8">
      <w:start w:val="1"/>
      <w:numFmt w:val="lowerRoman"/>
      <w:lvlText w:val="%9."/>
      <w:lvlJc w:val="right"/>
      <w:pPr>
        <w:ind w:left="8280" w:hanging="360"/>
      </w:pPr>
      <w:rPr>
        <w:u w:val="none"/>
      </w:rPr>
    </w:lvl>
  </w:abstractNum>
  <w:abstractNum w:abstractNumId="11" w15:restartNumberingAfterBreak="0">
    <w:nsid w:val="71D54C2D"/>
    <w:multiLevelType w:val="hybridMultilevel"/>
    <w:tmpl w:val="BF603BE8"/>
    <w:lvl w:ilvl="0" w:tplc="919EF272">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7"/>
  </w:num>
  <w:num w:numId="5">
    <w:abstractNumId w:val="4"/>
  </w:num>
  <w:num w:numId="6">
    <w:abstractNumId w:val="9"/>
  </w:num>
  <w:num w:numId="7">
    <w:abstractNumId w:val="3"/>
  </w:num>
  <w:num w:numId="8">
    <w:abstractNumId w:val="5"/>
  </w:num>
  <w:num w:numId="9">
    <w:abstractNumId w:val="8"/>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539"/>
    <w:rsid w:val="00005954"/>
    <w:rsid w:val="0000761E"/>
    <w:rsid w:val="000102B4"/>
    <w:rsid w:val="00010CC6"/>
    <w:rsid w:val="000404C0"/>
    <w:rsid w:val="0006746E"/>
    <w:rsid w:val="0008340E"/>
    <w:rsid w:val="000C5A3C"/>
    <w:rsid w:val="0018153D"/>
    <w:rsid w:val="001842AE"/>
    <w:rsid w:val="001A078A"/>
    <w:rsid w:val="00203E56"/>
    <w:rsid w:val="00206AEA"/>
    <w:rsid w:val="00215650"/>
    <w:rsid w:val="00220C05"/>
    <w:rsid w:val="002273F2"/>
    <w:rsid w:val="00276198"/>
    <w:rsid w:val="0027716B"/>
    <w:rsid w:val="0028055E"/>
    <w:rsid w:val="00280DD3"/>
    <w:rsid w:val="002A3F78"/>
    <w:rsid w:val="002D4617"/>
    <w:rsid w:val="002D7542"/>
    <w:rsid w:val="002F5BC4"/>
    <w:rsid w:val="003A415B"/>
    <w:rsid w:val="003B000E"/>
    <w:rsid w:val="003E206B"/>
    <w:rsid w:val="003F78E1"/>
    <w:rsid w:val="00440BCD"/>
    <w:rsid w:val="00472EAB"/>
    <w:rsid w:val="004C254A"/>
    <w:rsid w:val="004C6C1A"/>
    <w:rsid w:val="004E3741"/>
    <w:rsid w:val="004F0B9C"/>
    <w:rsid w:val="00502183"/>
    <w:rsid w:val="00514D74"/>
    <w:rsid w:val="005263A1"/>
    <w:rsid w:val="005777E6"/>
    <w:rsid w:val="00595F9B"/>
    <w:rsid w:val="005B2DD5"/>
    <w:rsid w:val="005B4A4D"/>
    <w:rsid w:val="005F4BED"/>
    <w:rsid w:val="00622709"/>
    <w:rsid w:val="00650B80"/>
    <w:rsid w:val="0068022E"/>
    <w:rsid w:val="0069038D"/>
    <w:rsid w:val="006A20FD"/>
    <w:rsid w:val="006B45C7"/>
    <w:rsid w:val="006E178A"/>
    <w:rsid w:val="006E36DA"/>
    <w:rsid w:val="00701414"/>
    <w:rsid w:val="0073304C"/>
    <w:rsid w:val="00746428"/>
    <w:rsid w:val="00747EB5"/>
    <w:rsid w:val="00757FBB"/>
    <w:rsid w:val="007802CA"/>
    <w:rsid w:val="00781D33"/>
    <w:rsid w:val="007D7899"/>
    <w:rsid w:val="00800AD5"/>
    <w:rsid w:val="0085033E"/>
    <w:rsid w:val="008512C4"/>
    <w:rsid w:val="00856AC0"/>
    <w:rsid w:val="00866DE1"/>
    <w:rsid w:val="008810C8"/>
    <w:rsid w:val="00884A0B"/>
    <w:rsid w:val="00893207"/>
    <w:rsid w:val="008B336F"/>
    <w:rsid w:val="008F45FD"/>
    <w:rsid w:val="00902256"/>
    <w:rsid w:val="00931042"/>
    <w:rsid w:val="009649E7"/>
    <w:rsid w:val="00970D15"/>
    <w:rsid w:val="00995E4A"/>
    <w:rsid w:val="00997942"/>
    <w:rsid w:val="009A1E26"/>
    <w:rsid w:val="009A33AD"/>
    <w:rsid w:val="009B64F0"/>
    <w:rsid w:val="00A64C2E"/>
    <w:rsid w:val="00A96A41"/>
    <w:rsid w:val="00AB5D71"/>
    <w:rsid w:val="00AD6D76"/>
    <w:rsid w:val="00AE13D9"/>
    <w:rsid w:val="00B2132C"/>
    <w:rsid w:val="00B3190D"/>
    <w:rsid w:val="00B33F50"/>
    <w:rsid w:val="00BB5E4C"/>
    <w:rsid w:val="00BC1908"/>
    <w:rsid w:val="00BD2252"/>
    <w:rsid w:val="00C25145"/>
    <w:rsid w:val="00C476C9"/>
    <w:rsid w:val="00C50D82"/>
    <w:rsid w:val="00C51A70"/>
    <w:rsid w:val="00C6746E"/>
    <w:rsid w:val="00C71539"/>
    <w:rsid w:val="00C9735E"/>
    <w:rsid w:val="00CB1B10"/>
    <w:rsid w:val="00CB58E7"/>
    <w:rsid w:val="00CC3305"/>
    <w:rsid w:val="00CF080E"/>
    <w:rsid w:val="00CF5FFC"/>
    <w:rsid w:val="00CF6F95"/>
    <w:rsid w:val="00D069E4"/>
    <w:rsid w:val="00D44E35"/>
    <w:rsid w:val="00D542DC"/>
    <w:rsid w:val="00D72B5F"/>
    <w:rsid w:val="00D91B11"/>
    <w:rsid w:val="00DA2C13"/>
    <w:rsid w:val="00DA6D6B"/>
    <w:rsid w:val="00DC15CD"/>
    <w:rsid w:val="00E103A1"/>
    <w:rsid w:val="00E2399C"/>
    <w:rsid w:val="00E3004C"/>
    <w:rsid w:val="00E51B9A"/>
    <w:rsid w:val="00E548EA"/>
    <w:rsid w:val="00E72E5B"/>
    <w:rsid w:val="00E74656"/>
    <w:rsid w:val="00E93CAF"/>
    <w:rsid w:val="00EB4AB7"/>
    <w:rsid w:val="00EB685C"/>
    <w:rsid w:val="00EE1C4A"/>
    <w:rsid w:val="00F53F17"/>
    <w:rsid w:val="00F56593"/>
    <w:rsid w:val="00F66569"/>
    <w:rsid w:val="00F767C8"/>
    <w:rsid w:val="00FA1374"/>
    <w:rsid w:val="00FF5D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40F3D"/>
  <w15:docId w15:val="{C935923D-226A-45DB-A6EF-23DADC145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6593"/>
  </w:style>
  <w:style w:type="paragraph" w:styleId="Ttulo1">
    <w:name w:val="heading 1"/>
    <w:basedOn w:val="Normal"/>
    <w:next w:val="Normal"/>
    <w:link w:val="Ttulo1Car"/>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757FBB"/>
    <w:pPr>
      <w:ind w:left="720"/>
      <w:contextualSpacing/>
    </w:pPr>
  </w:style>
  <w:style w:type="paragraph" w:styleId="TtuloTDC">
    <w:name w:val="TOC Heading"/>
    <w:basedOn w:val="Ttulo1"/>
    <w:next w:val="Normal"/>
    <w:uiPriority w:val="39"/>
    <w:unhideWhenUsed/>
    <w:qFormat/>
    <w:rsid w:val="00884A0B"/>
    <w:pPr>
      <w:outlineLvl w:val="9"/>
    </w:pPr>
    <w:rPr>
      <w:rFonts w:asciiTheme="majorHAnsi" w:eastAsiaTheme="majorEastAsia" w:hAnsiTheme="majorHAnsi" w:cstheme="majorBidi"/>
      <w:color w:val="365F91" w:themeColor="accent1" w:themeShade="BF"/>
    </w:rPr>
  </w:style>
  <w:style w:type="paragraph" w:styleId="TDC1">
    <w:name w:val="toc 1"/>
    <w:basedOn w:val="Normal"/>
    <w:next w:val="Normal"/>
    <w:autoRedefine/>
    <w:uiPriority w:val="39"/>
    <w:unhideWhenUsed/>
    <w:rsid w:val="00884A0B"/>
    <w:pPr>
      <w:spacing w:after="100"/>
    </w:pPr>
  </w:style>
  <w:style w:type="paragraph" w:styleId="TDC2">
    <w:name w:val="toc 2"/>
    <w:basedOn w:val="Normal"/>
    <w:next w:val="Normal"/>
    <w:autoRedefine/>
    <w:uiPriority w:val="39"/>
    <w:unhideWhenUsed/>
    <w:rsid w:val="00884A0B"/>
    <w:pPr>
      <w:spacing w:after="100"/>
      <w:ind w:left="220"/>
    </w:pPr>
  </w:style>
  <w:style w:type="character" w:styleId="Hipervnculo">
    <w:name w:val="Hyperlink"/>
    <w:basedOn w:val="Fuentedeprrafopredeter"/>
    <w:uiPriority w:val="99"/>
    <w:unhideWhenUsed/>
    <w:rsid w:val="00884A0B"/>
    <w:rPr>
      <w:color w:val="0000FF" w:themeColor="hyperlink"/>
      <w:u w:val="single"/>
    </w:rPr>
  </w:style>
  <w:style w:type="paragraph" w:styleId="Descripcin">
    <w:name w:val="caption"/>
    <w:basedOn w:val="Normal"/>
    <w:next w:val="Normal"/>
    <w:uiPriority w:val="35"/>
    <w:unhideWhenUsed/>
    <w:qFormat/>
    <w:rsid w:val="00F767C8"/>
    <w:pPr>
      <w:spacing w:after="200" w:line="240" w:lineRule="auto"/>
    </w:pPr>
    <w:rPr>
      <w:i/>
      <w:iCs/>
      <w:color w:val="1F497D" w:themeColor="text2"/>
      <w:sz w:val="18"/>
      <w:szCs w:val="18"/>
    </w:rPr>
  </w:style>
  <w:style w:type="character" w:styleId="Textodelmarcadordeposicin">
    <w:name w:val="Placeholder Text"/>
    <w:basedOn w:val="Fuentedeprrafopredeter"/>
    <w:uiPriority w:val="99"/>
    <w:semiHidden/>
    <w:rsid w:val="00902256"/>
    <w:rPr>
      <w:color w:val="666666"/>
    </w:rPr>
  </w:style>
  <w:style w:type="character" w:customStyle="1" w:styleId="Ttulo1Car">
    <w:name w:val="Título 1 Car"/>
    <w:basedOn w:val="Fuentedeprrafopredeter"/>
    <w:link w:val="Ttulo1"/>
    <w:uiPriority w:val="9"/>
    <w:rsid w:val="00276198"/>
    <w:rPr>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762089">
      <w:bodyDiv w:val="1"/>
      <w:marLeft w:val="0"/>
      <w:marRight w:val="0"/>
      <w:marTop w:val="0"/>
      <w:marBottom w:val="0"/>
      <w:divBdr>
        <w:top w:val="none" w:sz="0" w:space="0" w:color="auto"/>
        <w:left w:val="none" w:sz="0" w:space="0" w:color="auto"/>
        <w:bottom w:val="none" w:sz="0" w:space="0" w:color="auto"/>
        <w:right w:val="none" w:sz="0" w:space="0" w:color="auto"/>
      </w:divBdr>
    </w:div>
    <w:div w:id="923533594">
      <w:bodyDiv w:val="1"/>
      <w:marLeft w:val="0"/>
      <w:marRight w:val="0"/>
      <w:marTop w:val="0"/>
      <w:marBottom w:val="0"/>
      <w:divBdr>
        <w:top w:val="none" w:sz="0" w:space="0" w:color="auto"/>
        <w:left w:val="none" w:sz="0" w:space="0" w:color="auto"/>
        <w:bottom w:val="none" w:sz="0" w:space="0" w:color="auto"/>
        <w:right w:val="none" w:sz="0" w:space="0" w:color="auto"/>
      </w:divBdr>
    </w:div>
    <w:div w:id="20413926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QM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es.wikipedia.org/wiki/DPC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58CDE-9E53-4292-AA02-0BB120659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660</Words>
  <Characters>3635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Tomás</dc:creator>
  <cp:lastModifiedBy>Tomás</cp:lastModifiedBy>
  <cp:revision>5</cp:revision>
  <cp:lastPrinted>2024-05-22T20:20:00Z</cp:lastPrinted>
  <dcterms:created xsi:type="dcterms:W3CDTF">2024-05-24T17:17:00Z</dcterms:created>
  <dcterms:modified xsi:type="dcterms:W3CDTF">2024-05-25T18:12:00Z</dcterms:modified>
</cp:coreProperties>
</file>