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before="240" w:after="120"/>
      </w:pPr>
      <w:r>
        <w:rPr>
          <w:rFonts w:ascii="Times New Roman" w:cs="Times New Roman" w:eastAsia="Times New Roman" w:hAnsi="Times New Roman"/>
          <w:color w:val="2E74B5"/>
          <w:sz w:val="26"/>
          <w:szCs w:val="26"/>
        </w:rPr>
        <w:t xml:space="preserve">3.4. Validaciones en la Base de Datos</w:t>
      </w:r>
    </w:p>
    <w:p>
      <w:pPr>
        <w:spacing w:after="120" w:line="276"/>
        <w:jc w:val="both"/>
      </w:pPr>
      <w:r>
        <w:rPr>
          <w:rFonts w:ascii="Times New Roman" w:cs="Times New Roman" w:eastAsia="Times New Roman" w:hAnsi="Times New Roman"/>
          <w:sz w:val="22"/>
          <w:szCs w:val="22"/>
        </w:rPr>
        <w:t xml:space="preserve">En esta sección se describen las validaciones que se implementan en la base de datos durante el diseño. Hasta ahora las reglas de los casos de uso se controlaban solo en el front y en el back. Con la base de datos pasan a controlarse en las tres capas (principio de las 3V), así que si una falla, las otras dos siguen cuidando los datos. Se pone el foco en las bajas y en las modificaciones, que son las operaciones que más pueden dejar datos inconsistentes. El alcance es MOD-F-01 a MOD-F-04 (CU-01 a CU-72).</w:t>
      </w:r>
    </w:p>
    <w:p>
      <w:pPr>
        <w:spacing w:after="120" w:line="276"/>
        <w:jc w:val="both"/>
      </w:pPr>
      <w:r>
        <w:rPr>
          <w:rFonts w:ascii="Times New Roman" w:cs="Times New Roman" w:eastAsia="Times New Roman" w:hAnsi="Times New Roman"/>
          <w:b/>
          <w:bCs/>
          <w:sz w:val="22"/>
          <w:szCs w:val="22"/>
        </w:rPr>
        <w:t xml:space="preserve">Nota: </w:t>
      </w:r>
      <w:r>
        <w:rPr>
          <w:rFonts w:ascii="Times New Roman" w:cs="Times New Roman" w:eastAsia="Times New Roman" w:hAnsi="Times New Roman"/>
          <w:sz w:val="22"/>
          <w:szCs w:val="22"/>
        </w:rPr>
        <w:t xml:space="preserve">en toda la sección, un registro activo es el que no fue dado de baja (baja = falso). Todas las bajas del sistema son lógicas.</w:t>
      </w:r>
    </w:p>
    <w:p>
      <w:pPr>
        <w:spacing w:after="60" w:line="276"/>
        <w:jc w:val="both"/>
      </w:pPr>
      <w:r>
        <w:rPr>
          <w:rFonts w:ascii="Times New Roman" w:cs="Times New Roman" w:eastAsia="Times New Roman" w:hAnsi="Times New Roman"/>
          <w:sz w:val="22"/>
          <w:szCs w:val="22"/>
        </w:rPr>
        <w:t xml:space="preserve">Para implementarlas se usan tres herramientas de la base de datos: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Restricciones: </w:t>
      </w:r>
      <w:r>
        <w:rPr>
          <w:rFonts w:ascii="Times New Roman" w:cs="Times New Roman" w:eastAsia="Times New Roman" w:hAnsi="Times New Roman"/>
          <w:sz w:val="22"/>
          <w:szCs w:val="22"/>
        </w:rPr>
        <w:t xml:space="preserve">rechazan un dato que no cumple una condición. Son NOT NULL, UNIQUE, las claves foráneas y los CHECK (condiciones sobre una fila, por ejemplo un rango).</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Índices únicos parciales: </w:t>
      </w:r>
      <w:r>
        <w:rPr>
          <w:rFonts w:ascii="Times New Roman" w:cs="Times New Roman" w:eastAsia="Times New Roman" w:hAnsi="Times New Roman"/>
          <w:sz w:val="22"/>
          <w:szCs w:val="22"/>
        </w:rPr>
        <w:t xml:space="preserve">evitan repetidos, pero solo entre los registros activos.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Disparadores (triggers): </w:t>
      </w:r>
      <w:r>
        <w:rPr>
          <w:rFonts w:ascii="Times New Roman" w:cs="Times New Roman" w:eastAsia="Times New Roman" w:hAnsi="Times New Roman"/>
          <w:sz w:val="22"/>
          <w:szCs w:val="22"/>
        </w:rPr>
        <w:t xml:space="preserve">reglas que la base ejecuta sola cuando se inserta, modifica o da de baja un registro. Pueden mirar otras tablas y comparar el valor anterior con el nuevo.</w:t>
      </w:r>
    </w:p>
    <w:p>
      <w:pPr>
        <w:pStyle w:val="Heading3"/>
        <w:keepNext/>
        <w:spacing w:before="200" w:after="100"/>
      </w:pPr>
      <w:r>
        <w:rPr>
          <w:rFonts w:ascii="Times New Roman" w:cs="Times New Roman" w:eastAsia="Times New Roman" w:hAnsi="Times New Roman"/>
          <w:color w:val="1F4D78"/>
          <w:sz w:val="24"/>
          <w:szCs w:val="24"/>
        </w:rPr>
        <w:t xml:space="preserve">3.4.1. Validaciones simples</w:t>
      </w:r>
    </w:p>
    <w:p>
      <w:pPr>
        <w:spacing w:after="80" w:line="276"/>
        <w:jc w:val="both"/>
      </w:pPr>
      <w:r>
        <w:rPr>
          <w:rFonts w:ascii="Times New Roman" w:cs="Times New Roman" w:eastAsia="Times New Roman" w:hAnsi="Times New Roman"/>
          <w:sz w:val="22"/>
          <w:szCs w:val="22"/>
        </w:rPr>
        <w:t xml:space="preserve">Se resuelven mirando un campo o la misma fila, sin consultar otros registros.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Tipo</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Ejemplos</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Mecanismo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Obligatoriedad y largo</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Nombre obligatorio y de hasta 50 caracteres; textos de foro y contenido de unidad que no pueden quedar vacíos (altas y modificaciones).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NOT NULL, largo de la columna y CHECK de texto no vacío</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Rango</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Precio no negativo (CU-03, 04); porcentaje de descuento entre 1 y 100, cantidad límite mayor a cero (CU-57, 58); nota mínima entre 1 y 10 (CU-65, 66); cupo y semanas de acceso mayores a cero (CU-12, 13); monto de pago no negativo (CU-51 a 54).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CHECK</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Comparación entre campos de la misma fila</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Fin de inscripción posterior al inicio (CU-12, 13); vigencia hasta posterior a vigencia desde (CU-57, 58); cierre posterior a apertura (CU-65, 66); cantidad usada de un descuento menor o igual a su límite (CU-58, 59).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CHECK</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Formato</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DNI del certificado solo con números (CU-48).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CHECK</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Unicidad</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Nombre único de categoría, curso y descuento (CU-03, 08, 57): si el nombre pertenece a un registro dado de baja, se lo reactiva en lugar de crear uno nuevo; término de glosario único por unidad (CU-33, 34); una sola inscripción vigente por alumno y cohorte (CU-45, 46); un docente una sola vez por curso (CU-03, 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UNIQUE para los nombres y el término de glosario; índice único parcial para inscripción y docente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Referencia válida</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El curso apunta a una categoría y a un nivel que existen.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Clave foránea</w:t>
            </w:r>
          </w:p>
        </w:tc>
      </w:tr>
    </w:tbl>
    <w:p>
      <w:pPr>
        <w:pStyle w:val="Heading3"/>
        <w:keepNext/>
        <w:spacing w:before="200" w:after="100"/>
      </w:pPr>
      <w:r>
        <w:rPr>
          <w:rFonts w:ascii="Times New Roman" w:cs="Times New Roman" w:eastAsia="Times New Roman" w:hAnsi="Times New Roman"/>
          <w:color w:val="1F4D78"/>
          <w:sz w:val="24"/>
          <w:szCs w:val="24"/>
        </w:rPr>
        <w:t xml:space="preserve">3.4.2. Validaciones de negocio</w:t>
      </w:r>
    </w:p>
    <w:p>
      <w:pPr>
        <w:spacing w:after="80" w:line="276"/>
        <w:jc w:val="both"/>
      </w:pPr>
      <w:r>
        <w:rPr>
          <w:rFonts w:ascii="Times New Roman" w:cs="Times New Roman" w:eastAsia="Times New Roman" w:hAnsi="Times New Roman"/>
          <w:sz w:val="22"/>
          <w:szCs w:val="22"/>
        </w:rPr>
        <w:t xml:space="preserve">Dependen del estado de otros registros, de lo que ya pasó con el dato o de cómo se hace la operación. Se resuelven principalmente con disparadores.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Tipo</w:t>
            </w:r>
          </w:p>
        </w:tc>
        <w:tc>
          <w:tcPr>
            <w:tcW w:type="dxa" w:w="4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Ejemplos</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Mecanismo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Dependencias en la baja</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 se da de baja un curso con programas o unidades activas (CU-05); una categoría con cursos (CU-10); una cohorte con inscripciones o clases en vivo (CU-14); un programa con cohortes (CU-18); una unidad que está en un cronograma activo o tiene pools, autoevaluaciones o inscripciones (CU-22); un descuento ya usado (CU-59); un pool de una autoevaluación activa (CU-63); una autoevaluación con intentos (CU-67).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sobre cada tabla: si la baja pasa de falso a verdadero y hay registros activos que dependen de él, la rechaza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Coherencia padre-hijo</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 puede haber un registro activo dentro de uno dado de baja, por ejemplo una unidad activa en un curso dado de baja o una cohorte activa en un programa dado de baja. La excepción es CU-49: las consultas de un alumno cuya inscripción se da de baja se conservan en forma anónima.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sobre la tabla hija al insertar o reactivar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Cascadas de baja</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Al dar de baja un curso se da de baja su equipo docente (CU-05); una unidad, sus materiales, glosario, consultas y respuestas (CU-22); una consulta, sus respuestas (CU-39); una inscripción, su certificado (se anula) y sus intentos (CU-49).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Transacción: se hace todo o no se hace nada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Datos congelados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Si hay inscripciones activas, no se modifican: el curso salvo precio, imagen y equipo docente (CU-04); la categoría, la cohorte, el programa y la unidad (CU-09, 13, 17, 21); el cronograma (CU-25). Si hay intentos activos, no se modifican las preguntas y opciones de un pool (CU-62) ni el nombre, el tiempo, la apertura y los pools de una autoevaluación (CU-66). Tampoco se desvincula a un docente con material o clases activas (CU-04).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antes de modificar: compara el valor anterior con el nuevo y rechaza si cambió algo protegido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Transiciones</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La fecha de cierre de una autoevaluación solo se puede extender y los intentos permitidos solo ampliar (CU-66); un pago aprobado no se vuelve a modificar (CU-54).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que compara el valor anterior con el nuevo</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Datos que no cambian</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De una inscripción solo se modifican observaciones, habilitación y vencimiento (CU-47); de una consulta o respuesta de foro, solo el texto (CU-38, 42); de un certificado, solo nombre y DNI (CU-48). Además, la fecha de última modificación se completa sola.</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antes de modificar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Cupo y concurrencia</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No se supera el cupo de una cohorte aunque dos alumnos se inscriban al mismo tiempo (CU-45, 46).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que bloquea la cohorte mientras cuenta las inscripciones activas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Estructura compuesta</w:t>
            </w:r>
          </w:p>
        </w:tc>
        <w:tc>
          <w:tcPr>
            <w:tcW w:type="dxa" w:w="4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Cada pregunta tiene al menos dos opciones y una sola correcta, y el pool al menos una pregunta (CU-61, 62).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Disparador diferido: se revisa al terminar la operación, porque la pregunta y sus opciones se guardan juntas</w:t>
            </w:r>
          </w:p>
        </w:tc>
      </w:tr>
    </w:tbl>
    <w:p>
      <w:pPr>
        <w:pStyle w:val="Heading3"/>
        <w:keepNext/>
        <w:spacing w:before="200" w:after="100"/>
      </w:pPr>
      <w:r>
        <w:rPr>
          <w:rFonts w:ascii="Times New Roman" w:cs="Times New Roman" w:eastAsia="Times New Roman" w:hAnsi="Times New Roman"/>
          <w:color w:val="1F4D78"/>
          <w:sz w:val="24"/>
          <w:szCs w:val="24"/>
        </w:rPr>
        <w:t xml:space="preserve">3.4.3. Validaciones que no se controlan en la base</w:t>
      </w:r>
    </w:p>
    <w:p>
      <w:pPr>
        <w:spacing w:after="120" w:line="276"/>
        <w:jc w:val="both"/>
      </w:pPr>
      <w:r>
        <w:rPr>
          <w:rFonts w:ascii="Times New Roman" w:cs="Times New Roman" w:eastAsia="Times New Roman" w:hAnsi="Times New Roman"/>
          <w:sz w:val="22"/>
          <w:szCs w:val="22"/>
        </w:rPr>
        <w:t xml:space="preserve">Hay reglas que quedan solo en el front y en el back porque dependen de algo que la base no conoce o que cambia con el tiempo: la fecha actual (ventana de inscripción, período de una autoevaluación), los parámetros del sistema (plazo de pago, plazo de edición de foros, mínimo de unidades por cohorte), el usuario (rol, autoría, titular o ayudante) y los servicios externos (pagos, videos). Tampoco se controlan las que suman datos de varias tablas, como las semanas de acceso frente a la duración del cronograma.</w:t>
      </w:r>
    </w:p>
    <w:p>
      <w:pPr>
        <w:pStyle w:val="Heading3"/>
        <w:keepNext/>
        <w:spacing w:before="200" w:after="100"/>
      </w:pPr>
      <w:r>
        <w:rPr>
          <w:rFonts w:ascii="Times New Roman" w:cs="Times New Roman" w:eastAsia="Times New Roman" w:hAnsi="Times New Roman"/>
          <w:color w:val="1F4D78"/>
          <w:sz w:val="24"/>
          <w:szCs w:val="24"/>
        </w:rPr>
        <w:t xml:space="preserve">3.4.4. Índices</w:t>
      </w:r>
    </w:p>
    <w:p>
      <w:pPr>
        <w:spacing w:after="120" w:line="276"/>
        <w:jc w:val="both"/>
      </w:pPr>
      <w:r>
        <w:rPr>
          <w:rFonts w:ascii="Times New Roman" w:cs="Times New Roman" w:eastAsia="Times New Roman" w:hAnsi="Times New Roman"/>
          <w:sz w:val="22"/>
          <w:szCs w:val="22"/>
        </w:rPr>
        <w:t xml:space="preserve">Un índice permite encontrar filas sin recorrer toda la tabla. Se usan de dos tipos. Los índices únicos parciales hacen cumplir las unicidades de 3.4.1 que se limitan a registros activos: Inscripción(alumno, cohorte) y DocenteCurso(curso, docente). Los índices de apoyo se crean sobre la clave foránea de las tablas hijas, porque PostgreSQL no los crea solo y los disparadores de baja y de datos congelados consultan justamente esos registros: Curso(categoría), Programa(curso), Cohorte(programa), Inscripción(cohorte), ClaseEnVivo(cohorte), Material(unidad), Autoevaluación(unidad), IntentoAutoevaluación(autoevaluación), ConsultaForo(unidad), RespuestaForo(consulta) y UnidadCronograma(unidad), más AutoevaluacionPool(pool), que no tiene baja. Todos son parciales (baja = falso), salvo este último, ya que solo se consultan registros activos. No hace falta repetir los casos que ya cubre un UNIQUE existente: Unidad por curso, Pool por unidad y término de glosario por unidad.</w:t>
      </w:r>
    </w:p>
    <w:p>
      <w:pPr>
        <w:pStyle w:val="Heading3"/>
        <w:keepNext/>
        <w:spacing w:before="200" w:after="100"/>
      </w:pPr>
      <w:r>
        <w:rPr>
          <w:rFonts w:ascii="Times New Roman" w:cs="Times New Roman" w:eastAsia="Times New Roman" w:hAnsi="Times New Roman"/>
          <w:color w:val="1F4D78"/>
          <w:sz w:val="24"/>
          <w:szCs w:val="24"/>
        </w:rPr>
        <w:t xml:space="preserve">3.4.5. Roles de la base de datos</w:t>
      </w:r>
    </w:p>
    <w:p>
      <w:pPr>
        <w:spacing w:after="80" w:line="276"/>
        <w:jc w:val="both"/>
      </w:pPr>
      <w:r>
        <w:rPr>
          <w:rFonts w:ascii="Times New Roman" w:cs="Times New Roman" w:eastAsia="Times New Roman" w:hAnsi="Times New Roman"/>
          <w:sz w:val="22"/>
          <w:szCs w:val="22"/>
        </w:rPr>
        <w:t xml:space="preserve">Además de los roles del sistema (Alumno, Docente y Administrador), que maneja Spring Security, en la base se definen dos roles que limitan qué se puede hacer sobre las tablas: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Rol</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Permisos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idoneos_administrador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Es el dueño del esquema. Crea tablas, restricciones, índices y disparadores con el script de despliegue. No lo usa la aplicación.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idoneos_aplicacion</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19"/>
                <w:szCs w:val="19"/>
              </w:rPr>
              <w:t xml:space="preserve">Es la cuenta con la que se conecta Spring. Solo puede leer, insertar y modificar (y borrar únicamente donde el modelo lo necesita, por ejemplo las sesiones). Como no borra registros de negocio, la baja lógica es obligatoria, y como no puede cambiar la estructura, no puede sacar restricciones ni disparadores. En Auditoría solo inserta, así que el historial no se altera.</w:t>
            </w:r>
          </w:p>
        </w:tc>
      </w:tr>
    </w:tbl>
    <w:p>
      <w:pPr>
        <w:spacing w:after="60"/>
      </w:pPr>
    </w:p>
    <w:p>
      <w:pPr>
        <w:spacing w:after="120" w:line="276"/>
        <w:jc w:val="both"/>
      </w:pPr>
      <w:r>
        <w:rPr>
          <w:rFonts w:ascii="Times New Roman" w:cs="Times New Roman" w:eastAsia="Times New Roman" w:hAnsi="Times New Roman"/>
          <w:sz w:val="22"/>
          <w:szCs w:val="22"/>
        </w:rPr>
        <w:t xml:space="preserve">Hoy la aplicación se conecta con el usuario postgres, que se saltea todos estos controles, por lo que pasa a usar idoneos_aplicacion.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120"/>
      <w:outlineLvl w:val="1"/>
    </w:pPr>
    <w:rPr>
      <w:rFonts w:ascii="Times New Roman" w:cs="Times New Roman" w:eastAsia="Times New Roman" w:hAnsi="Times New Roman"/>
      <w:color w:val="2E74B5"/>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Validaciones en la Base de Datos</dc:title>
  <dc:creator>Idóneos Online</dc:creator>
  <cp:lastModifiedBy>Un-named</cp:lastModifiedBy>
  <cp:revision>1</cp:revision>
  <dcterms:created xsi:type="dcterms:W3CDTF">2026-10-26T06:41:10.806Z</dcterms:created>
  <dcterms:modified xsi:type="dcterms:W3CDTF">2026-10-26T06:41:10.808Z</dcterms:modified>
</cp:coreProperties>
</file>

<file path=docProps/custom.xml><?xml version="1.0" encoding="utf-8"?>
<Properties xmlns="http://schemas.openxmlformats.org/officeDocument/2006/custom-properties" xmlns:vt="http://schemas.openxmlformats.org/officeDocument/2006/docPropsVTypes"/>
</file>