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2"/>
        <w:keepNext/>
        <w:spacing w:before="240" w:after="120"/>
      </w:pPr>
      <w:r>
        <w:rPr>
          <w:rFonts w:ascii="Times New Roman" w:cs="Times New Roman" w:eastAsia="Times New Roman" w:hAnsi="Times New Roman"/>
          <w:color w:val="2E74B5"/>
          <w:sz w:val="26"/>
          <w:szCs w:val="26"/>
        </w:rPr>
        <w:t xml:space="preserve">3.4. Validaciones en la Base de Datos</w:t>
      </w:r>
    </w:p>
    <w:p>
      <w:pPr>
        <w:spacing w:after="120" w:line="276"/>
        <w:jc w:val="both"/>
      </w:pPr>
      <w:r>
        <w:rPr>
          <w:rFonts w:ascii="Times New Roman" w:cs="Times New Roman" w:eastAsia="Times New Roman" w:hAnsi="Times New Roman"/>
          <w:sz w:val="22"/>
          <w:szCs w:val="22"/>
        </w:rPr>
        <w:t xml:space="preserve">En esta sección se describen las validaciones que se implementan en la base de datos durante el diseño. Hasta ahora las reglas de los casos de uso se controlaban solo en el front y en el back. Con la base de datos pasan a controlarse en las tres capas (principio de las 3V), así que si una falla, las otras dos siguen cuidando los datos. Se pone el foco en las bajas y en las modificaciones, que son las operaciones que más pueden dejar datos inconsistentes. El alcance es MOD-F-01 a MOD-F-04 (CU-01 a CU-72).</w:t>
      </w:r>
    </w:p>
    <w:p>
      <w:pPr>
        <w:spacing w:after="120" w:line="276"/>
        <w:jc w:val="both"/>
      </w:pPr>
      <w:r>
        <w:rPr>
          <w:rFonts w:ascii="Times New Roman" w:cs="Times New Roman" w:eastAsia="Times New Roman" w:hAnsi="Times New Roman"/>
          <w:b/>
          <w:bCs/>
          <w:sz w:val="22"/>
          <w:szCs w:val="22"/>
        </w:rPr>
        <w:t xml:space="preserve">Nota: </w:t>
      </w:r>
      <w:r>
        <w:rPr>
          <w:rFonts w:ascii="Times New Roman" w:cs="Times New Roman" w:eastAsia="Times New Roman" w:hAnsi="Times New Roman"/>
          <w:sz w:val="22"/>
          <w:szCs w:val="22"/>
        </w:rPr>
        <w:t xml:space="preserve">en toda la sección, un registro activo es el que no fue dado de baja (baja = falso). Todas las bajas del sistema son lógicas.</w:t>
      </w:r>
    </w:p>
    <w:p>
      <w:pPr>
        <w:spacing w:after="60" w:line="276"/>
        <w:jc w:val="both"/>
      </w:pPr>
      <w:r>
        <w:rPr>
          <w:rFonts w:ascii="Times New Roman" w:cs="Times New Roman" w:eastAsia="Times New Roman" w:hAnsi="Times New Roman"/>
          <w:sz w:val="22"/>
          <w:szCs w:val="22"/>
        </w:rPr>
        <w:t xml:space="preserve">Para implementarlas se usan tres herramientas de la base de datos:</w:t>
      </w:r>
    </w:p>
    <w:p>
      <w:pPr>
        <w:pStyle w:val="ListParagraph"/>
        <w:numPr>
          <w:ilvl w:val="0"/>
          <w:numId w:val="2"/>
        </w:numPr>
        <w:spacing w:after="60" w:line="276"/>
        <w:jc w:val="both"/>
      </w:pPr>
      <w:r>
        <w:rPr>
          <w:rFonts w:ascii="Times New Roman" w:cs="Times New Roman" w:eastAsia="Times New Roman" w:hAnsi="Times New Roman"/>
          <w:b/>
          <w:bCs/>
          <w:sz w:val="22"/>
          <w:szCs w:val="22"/>
        </w:rPr>
        <w:t xml:space="preserve">Restricciones: </w:t>
      </w:r>
      <w:r>
        <w:rPr>
          <w:rFonts w:ascii="Times New Roman" w:cs="Times New Roman" w:eastAsia="Times New Roman" w:hAnsi="Times New Roman"/>
          <w:sz w:val="22"/>
          <w:szCs w:val="22"/>
        </w:rPr>
        <w:t xml:space="preserve">rechazan un dato que no cumple una condición. Son NOT NULL, UNIQUE, las claves foráneas y los CHECK (condiciones sobre una fila, por ejemplo un rango).</w:t>
      </w:r>
    </w:p>
    <w:p>
      <w:pPr>
        <w:pStyle w:val="ListParagraph"/>
        <w:numPr>
          <w:ilvl w:val="0"/>
          <w:numId w:val="2"/>
        </w:numPr>
        <w:spacing w:after="60" w:line="276"/>
        <w:jc w:val="both"/>
      </w:pPr>
      <w:r>
        <w:rPr>
          <w:rFonts w:ascii="Times New Roman" w:cs="Times New Roman" w:eastAsia="Times New Roman" w:hAnsi="Times New Roman"/>
          <w:b/>
          <w:bCs/>
          <w:sz w:val="22"/>
          <w:szCs w:val="22"/>
        </w:rPr>
        <w:t xml:space="preserve">Índices únicos parciales: </w:t>
      </w:r>
      <w:r>
        <w:rPr>
          <w:rFonts w:ascii="Times New Roman" w:cs="Times New Roman" w:eastAsia="Times New Roman" w:hAnsi="Times New Roman"/>
          <w:sz w:val="22"/>
          <w:szCs w:val="22"/>
        </w:rPr>
        <w:t xml:space="preserve">evitan repetidos, pero solo entre los registros activos.</w:t>
      </w:r>
    </w:p>
    <w:p>
      <w:pPr>
        <w:pStyle w:val="ListParagraph"/>
        <w:numPr>
          <w:ilvl w:val="0"/>
          <w:numId w:val="2"/>
        </w:numPr>
        <w:spacing w:after="60" w:line="276"/>
        <w:jc w:val="both"/>
      </w:pPr>
      <w:r>
        <w:rPr>
          <w:rFonts w:ascii="Times New Roman" w:cs="Times New Roman" w:eastAsia="Times New Roman" w:hAnsi="Times New Roman"/>
          <w:b/>
          <w:bCs/>
          <w:sz w:val="22"/>
          <w:szCs w:val="22"/>
        </w:rPr>
        <w:t xml:space="preserve">Disparadores (triggers): </w:t>
      </w:r>
      <w:r>
        <w:rPr>
          <w:rFonts w:ascii="Times New Roman" w:cs="Times New Roman" w:eastAsia="Times New Roman" w:hAnsi="Times New Roman"/>
          <w:sz w:val="22"/>
          <w:szCs w:val="22"/>
        </w:rPr>
        <w:t xml:space="preserve">reglas que la base ejecuta sola cuando se inserta, modifica o da de baja un registro. Pueden mirar otras tablas y comparar el valor anterior con el nuevo.</w:t>
      </w:r>
    </w:p>
    <w:p>
      <w:pPr>
        <w:pStyle w:val="Heading3"/>
        <w:keepNext/>
        <w:spacing w:before="200" w:after="100"/>
      </w:pPr>
      <w:r>
        <w:rPr>
          <w:rFonts w:ascii="Times New Roman" w:cs="Times New Roman" w:eastAsia="Times New Roman" w:hAnsi="Times New Roman"/>
          <w:color w:val="1F4D78"/>
          <w:sz w:val="24"/>
          <w:szCs w:val="24"/>
        </w:rPr>
        <w:t xml:space="preserve">3.4.1. Validaciones simples</w:t>
      </w:r>
    </w:p>
    <w:p>
      <w:pPr>
        <w:spacing w:after="80" w:line="276"/>
        <w:jc w:val="both"/>
      </w:pPr>
      <w:r>
        <w:rPr>
          <w:rFonts w:ascii="Times New Roman" w:cs="Times New Roman" w:eastAsia="Times New Roman" w:hAnsi="Times New Roman"/>
          <w:sz w:val="22"/>
          <w:szCs w:val="22"/>
        </w:rPr>
        <w:t xml:space="preserve">Se resuelven mirando un campo o la misma fila, sin consultar otros registros.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4626"/>
        <w:gridCol w:w="2400"/>
      </w:tblGrid>
      <w:tr>
        <w:trPr>
          <w:cantSplit/>
          <w:tblHeader/>
        </w:trPr>
        <w:tc>
          <w:tcPr>
            <w:tcW w:type="dxa" w:w="200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Tipo</w:t>
            </w:r>
          </w:p>
        </w:tc>
        <w:tc>
          <w:tcPr>
            <w:tcW w:type="dxa" w:w="4626"/>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Ejemplos</w:t>
            </w:r>
          </w:p>
        </w:tc>
        <w:tc>
          <w:tcPr>
            <w:tcW w:type="dxa" w:w="240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Mecanismo</w:t>
            </w:r>
          </w:p>
        </w:tc>
      </w:tr>
      <w:tr>
        <w:trPr>
          <w:cantSplit/>
        </w:trPr>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19"/>
                <w:szCs w:val="19"/>
              </w:rPr>
              <w:t xml:space="preserve">Obligatoriedad y largo</w:t>
            </w:r>
          </w:p>
        </w:tc>
        <w:tc>
          <w:tcPr>
            <w:tcW w:type="dxa" w:w="46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19"/>
                <w:szCs w:val="19"/>
              </w:rPr>
              <w:t xml:space="preserve">Nombre obligatorio y de hasta 50 caracteres; textos de foro y contenido de unidad que no pueden quedar vacíos (altas y modificaciones).</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19"/>
                <w:szCs w:val="19"/>
              </w:rPr>
              <w:t xml:space="preserve">NOT NULL, largo de la columna y CHECK de texto no vacío</w:t>
            </w:r>
          </w:p>
        </w:tc>
      </w:tr>
      <w:tr>
        <w:trPr>
          <w:cantSplit/>
        </w:trPr>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19"/>
                <w:szCs w:val="19"/>
              </w:rPr>
              <w:t xml:space="preserve">Rango</w:t>
            </w:r>
          </w:p>
        </w:tc>
        <w:tc>
          <w:tcPr>
            <w:tcW w:type="dxa" w:w="46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19"/>
                <w:szCs w:val="19"/>
              </w:rPr>
              <w:t xml:space="preserve">Precio no negativo (CU-03, 04); porcentaje de descuento entre 1 y 100, cantidad límite mayor a cero (CU-57, 58); nota mínima entre 1 y 10 (CU-65, 66); cupo y semanas de acceso mayores a cero (CU-12, 13); monto de pago no negativo (CU-51 a 54).</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19"/>
                <w:szCs w:val="19"/>
              </w:rPr>
              <w:t xml:space="preserve">CHECK</w:t>
            </w:r>
          </w:p>
        </w:tc>
      </w:tr>
      <w:tr>
        <w:trPr>
          <w:cantSplit/>
        </w:trPr>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19"/>
                <w:szCs w:val="19"/>
              </w:rPr>
              <w:t xml:space="preserve">Comparación entre campos de la misma fila</w:t>
            </w:r>
          </w:p>
        </w:tc>
        <w:tc>
          <w:tcPr>
            <w:tcW w:type="dxa" w:w="46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19"/>
                <w:szCs w:val="19"/>
              </w:rPr>
              <w:t xml:space="preserve">Fin de inscripción posterior al inicio (CU-12, 13); vigencia hasta posterior a vigencia desde (CU-57, 58); cierre posterior a apertura (CU-65, 66); cantidad usada de un descuento menor o igual a su límite (CU-58, 59).</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19"/>
                <w:szCs w:val="19"/>
              </w:rPr>
              <w:t xml:space="preserve">CHECK</w:t>
            </w:r>
          </w:p>
        </w:tc>
      </w:tr>
      <w:tr>
        <w:trPr>
          <w:cantSplit/>
        </w:trPr>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19"/>
                <w:szCs w:val="19"/>
              </w:rPr>
              <w:t xml:space="preserve">Formato</w:t>
            </w:r>
          </w:p>
        </w:tc>
        <w:tc>
          <w:tcPr>
            <w:tcW w:type="dxa" w:w="46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19"/>
                <w:szCs w:val="19"/>
              </w:rPr>
              <w:t xml:space="preserve">DNI del certificado solo con números (CU-48).</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19"/>
                <w:szCs w:val="19"/>
              </w:rPr>
              <w:t xml:space="preserve">CHECK</w:t>
            </w:r>
          </w:p>
        </w:tc>
      </w:tr>
      <w:tr>
        <w:trPr>
          <w:cantSplit/>
        </w:trPr>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19"/>
                <w:szCs w:val="19"/>
              </w:rPr>
              <w:t xml:space="preserve">Unicidad</w:t>
            </w:r>
          </w:p>
        </w:tc>
        <w:tc>
          <w:tcPr>
            <w:tcW w:type="dxa" w:w="46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19"/>
                <w:szCs w:val="19"/>
              </w:rPr>
              <w:t xml:space="preserve">Nombre único de categoría, curso y descuento (CU-03, 08, 57): si el nombre pertenece a un registro dado de baja, se lo reactiva en lugar de crear uno nuevo; término de glosario único por unidad (CU-33, 34); una sola inscripción vigente por alumno y cohorte (CU-45, 46); un docente una sola vez por curso (CU-03, 04).</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19"/>
                <w:szCs w:val="19"/>
              </w:rPr>
              <w:t xml:space="preserve">UNIQUE para los nombres y el término de glosario; índice único parcial para inscripción y docente</w:t>
            </w:r>
          </w:p>
        </w:tc>
      </w:tr>
      <w:tr>
        <w:trPr>
          <w:cantSplit/>
        </w:trPr>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19"/>
                <w:szCs w:val="19"/>
              </w:rPr>
              <w:t xml:space="preserve">Referencia válida</w:t>
            </w:r>
          </w:p>
        </w:tc>
        <w:tc>
          <w:tcPr>
            <w:tcW w:type="dxa" w:w="46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19"/>
                <w:szCs w:val="19"/>
              </w:rPr>
              <w:t xml:space="preserve">El curso apunta a una categoría y a un nivel que existen.</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19"/>
                <w:szCs w:val="19"/>
              </w:rPr>
              <w:t xml:space="preserve">Clave foránea</w:t>
            </w:r>
          </w:p>
        </w:tc>
      </w:tr>
    </w:tbl>
    <w:p>
      <w:pPr>
        <w:pStyle w:val="Heading3"/>
        <w:keepNext/>
        <w:spacing w:before="200" w:after="100"/>
      </w:pPr>
      <w:r>
        <w:rPr>
          <w:rFonts w:ascii="Times New Roman" w:cs="Times New Roman" w:eastAsia="Times New Roman" w:hAnsi="Times New Roman"/>
          <w:color w:val="1F4D78"/>
          <w:sz w:val="24"/>
          <w:szCs w:val="24"/>
        </w:rPr>
        <w:t xml:space="preserve">3.4.2. Validaciones de negocio</w:t>
      </w:r>
    </w:p>
    <w:p>
      <w:pPr>
        <w:spacing w:after="80" w:line="276"/>
        <w:jc w:val="both"/>
      </w:pPr>
      <w:r>
        <w:rPr>
          <w:rFonts w:ascii="Times New Roman" w:cs="Times New Roman" w:eastAsia="Times New Roman" w:hAnsi="Times New Roman"/>
          <w:sz w:val="22"/>
          <w:szCs w:val="22"/>
        </w:rPr>
        <w:t xml:space="preserve">Dependen del estado de otros registros, de lo que ya pasó con el dato o de cómo se hace la operación. Se resuelven principalmente con disparadores.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4826"/>
        <w:gridCol w:w="2300"/>
      </w:tblGrid>
      <w:tr>
        <w:trPr>
          <w:cantSplit/>
          <w:tblHeader/>
        </w:trPr>
        <w:tc>
          <w:tcPr>
            <w:tcW w:type="dxa" w:w="190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Tipo</w:t>
            </w:r>
          </w:p>
        </w:tc>
        <w:tc>
          <w:tcPr>
            <w:tcW w:type="dxa" w:w="4826"/>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Ejemplos</w:t>
            </w:r>
          </w:p>
        </w:tc>
        <w:tc>
          <w:tcPr>
            <w:tcW w:type="dxa" w:w="230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Mecanismo</w:t>
            </w:r>
          </w:p>
        </w:tc>
      </w:tr>
      <w:tr>
        <w:trPr>
          <w:cantSplit/>
        </w:trPr>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19"/>
                <w:szCs w:val="19"/>
              </w:rPr>
              <w:t xml:space="preserve">Dependencias en la baja</w:t>
            </w:r>
          </w:p>
        </w:tc>
        <w:tc>
          <w:tcPr>
            <w:tcW w:type="dxa" w:w="48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19"/>
                <w:szCs w:val="19"/>
              </w:rPr>
              <w:t xml:space="preserve">No se da de baja un curso con programas o unidades activas (CU-05); una categoría con cursos (CU-10); una cohorte con inscripciones o clases en vivo (CU-14); un programa con cohortes (CU-18); una unidad que está en un cronograma activo o tiene pools, autoevaluaciones o inscripciones (CU-22); un descuento ya usado (CU-59); un pool de una autoevaluación activa (CU-63); una autoevaluación con intentos (CU-67).</w:t>
            </w:r>
          </w:p>
        </w:tc>
        <w:tc>
          <w:tcPr>
            <w:tcW w:type="dxa" w:w="2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19"/>
                <w:szCs w:val="19"/>
              </w:rPr>
              <w:t xml:space="preserve">Disparador sobre cada tabla: si la baja pasa de falso a verdadero y hay registros activos que dependen de él, la rechaza</w:t>
            </w:r>
          </w:p>
        </w:tc>
      </w:tr>
      <w:tr>
        <w:trPr>
          <w:cantSplit/>
        </w:trPr>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19"/>
                <w:szCs w:val="19"/>
              </w:rPr>
              <w:t xml:space="preserve">Coherencia padre-hijo</w:t>
            </w:r>
          </w:p>
        </w:tc>
        <w:tc>
          <w:tcPr>
            <w:tcW w:type="dxa" w:w="48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19"/>
                <w:szCs w:val="19"/>
              </w:rPr>
              <w:t xml:space="preserve">No puede haber un registro activo dentro de uno dado de baja, por ejemplo una unidad activa en un curso dado de baja o una cohorte activa en un programa dado de baja. La excepción es CU-49: las consultas de un alumno cuya inscripción se da de baja se conservan en forma anónima.</w:t>
            </w:r>
          </w:p>
        </w:tc>
        <w:tc>
          <w:tcPr>
            <w:tcW w:type="dxa" w:w="2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19"/>
                <w:szCs w:val="19"/>
              </w:rPr>
              <w:t xml:space="preserve">Disparador sobre la tabla hija al insertar o reactivar</w:t>
            </w:r>
          </w:p>
        </w:tc>
      </w:tr>
      <w:tr>
        <w:trPr>
          <w:cantSplit/>
        </w:trPr>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19"/>
                <w:szCs w:val="19"/>
              </w:rPr>
              <w:t xml:space="preserve">Cascadas de baja</w:t>
            </w:r>
          </w:p>
        </w:tc>
        <w:tc>
          <w:tcPr>
            <w:tcW w:type="dxa" w:w="48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19"/>
                <w:szCs w:val="19"/>
              </w:rPr>
              <w:t xml:space="preserve">Al dar de baja un curso se da de baja su equipo docente (CU-05); una unidad, sus materiales, glosario, consultas y respuestas (CU-22); una consulta, sus respuestas (CU-39); una inscripción, su certificado (se anula) y sus intentos (CU-49).</w:t>
            </w:r>
          </w:p>
        </w:tc>
        <w:tc>
          <w:tcPr>
            <w:tcW w:type="dxa" w:w="2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19"/>
                <w:szCs w:val="19"/>
              </w:rPr>
              <w:t xml:space="preserve">Transacción: se hace todo o no se hace nada</w:t>
            </w:r>
          </w:p>
        </w:tc>
      </w:tr>
      <w:tr>
        <w:trPr>
          <w:cantSplit/>
        </w:trPr>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19"/>
                <w:szCs w:val="19"/>
              </w:rPr>
              <w:t xml:space="preserve">Datos congelados</w:t>
            </w:r>
          </w:p>
        </w:tc>
        <w:tc>
          <w:tcPr>
            <w:tcW w:type="dxa" w:w="48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19"/>
                <w:szCs w:val="19"/>
              </w:rPr>
              <w:t xml:space="preserve">Si hay inscripciones activas, no se modifican: el curso salvo precio, imagen y equipo docente (CU-04); la categoría, la cohorte, el programa y la unidad (CU-09, 13, 17, 21); el cronograma (CU-25). Si hay intentos activos, no se modifican las preguntas y opciones de un pool (CU-62) ni el nombre, el tiempo, la apertura y los pools de una autoevaluación (CU-66). Tampoco se desvincula a un docente con material o clases activas (CU-04).</w:t>
            </w:r>
          </w:p>
        </w:tc>
        <w:tc>
          <w:tcPr>
            <w:tcW w:type="dxa" w:w="2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19"/>
                <w:szCs w:val="19"/>
              </w:rPr>
              <w:t xml:space="preserve">Disparador antes de modificar: compara el valor anterior con el nuevo y rechaza si cambió algo protegido</w:t>
            </w:r>
          </w:p>
        </w:tc>
      </w:tr>
      <w:tr>
        <w:trPr>
          <w:cantSplit/>
        </w:trPr>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19"/>
                <w:szCs w:val="19"/>
              </w:rPr>
              <w:t xml:space="preserve">Transiciones</w:t>
            </w:r>
          </w:p>
        </w:tc>
        <w:tc>
          <w:tcPr>
            <w:tcW w:type="dxa" w:w="48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19"/>
                <w:szCs w:val="19"/>
              </w:rPr>
              <w:t xml:space="preserve">La fecha de cierre de una autoevaluación solo se puede extender y los intentos permitidos solo ampliar (CU-66); un pago aprobado no se vuelve a modificar (CU-54).</w:t>
            </w:r>
          </w:p>
        </w:tc>
        <w:tc>
          <w:tcPr>
            <w:tcW w:type="dxa" w:w="2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19"/>
                <w:szCs w:val="19"/>
              </w:rPr>
              <w:t xml:space="preserve">Disparador que compara el valor anterior con el nuevo</w:t>
            </w:r>
          </w:p>
        </w:tc>
      </w:tr>
      <w:tr>
        <w:trPr>
          <w:cantSplit/>
        </w:trPr>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19"/>
                <w:szCs w:val="19"/>
              </w:rPr>
              <w:t xml:space="preserve">Datos que no cambian</w:t>
            </w:r>
          </w:p>
        </w:tc>
        <w:tc>
          <w:tcPr>
            <w:tcW w:type="dxa" w:w="48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19"/>
                <w:szCs w:val="19"/>
              </w:rPr>
              <w:t xml:space="preserve">De una inscripción solo se modifican observaciones, habilitación y vencimiento (CU-47); de una consulta o respuesta de foro, solo el texto (CU-38, 42); de un certificado, solo nombre y DNI (CU-48). Además, la fecha de última modificación se completa sola.</w:t>
            </w:r>
          </w:p>
        </w:tc>
        <w:tc>
          <w:tcPr>
            <w:tcW w:type="dxa" w:w="2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19"/>
                <w:szCs w:val="19"/>
              </w:rPr>
              <w:t xml:space="preserve">Disparador antes de modificar</w:t>
            </w:r>
          </w:p>
        </w:tc>
      </w:tr>
      <w:tr>
        <w:trPr>
          <w:cantSplit/>
        </w:trPr>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19"/>
                <w:szCs w:val="19"/>
              </w:rPr>
              <w:t xml:space="preserve">Cupo y concurrencia</w:t>
            </w:r>
          </w:p>
        </w:tc>
        <w:tc>
          <w:tcPr>
            <w:tcW w:type="dxa" w:w="48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19"/>
                <w:szCs w:val="19"/>
              </w:rPr>
              <w:t xml:space="preserve">No se supera el cupo de una cohorte, que ocupan las inscripciones habilitadas, aunque dos alumnos se habiliten al mismo tiempo (CU-45, 46).</w:t>
            </w:r>
          </w:p>
        </w:tc>
        <w:tc>
          <w:tcPr>
            <w:tcW w:type="dxa" w:w="2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19"/>
                <w:szCs w:val="19"/>
              </w:rPr>
              <w:t xml:space="preserve">Disparador que bloquea la cohorte mientras cuenta las inscripciones habilitadas</w:t>
            </w:r>
          </w:p>
        </w:tc>
      </w:tr>
      <w:tr>
        <w:trPr>
          <w:cantSplit/>
        </w:trPr>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19"/>
                <w:szCs w:val="19"/>
              </w:rPr>
              <w:t xml:space="preserve">Estructura compuesta</w:t>
            </w:r>
          </w:p>
        </w:tc>
        <w:tc>
          <w:tcPr>
            <w:tcW w:type="dxa" w:w="48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19"/>
                <w:szCs w:val="19"/>
              </w:rPr>
              <w:t xml:space="preserve">Cada pregunta tiene al menos dos opciones y una sola correcta (al menos una, si es de opción múltiple), y el pool al menos una pregunta (CU-61, 62).</w:t>
            </w:r>
          </w:p>
        </w:tc>
        <w:tc>
          <w:tcPr>
            <w:tcW w:type="dxa" w:w="2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19"/>
                <w:szCs w:val="19"/>
              </w:rPr>
              <w:t xml:space="preserve">Disparador diferido: se revisa al terminar la operación, porque la pregunta y sus opciones se guardan juntas</w:t>
            </w:r>
          </w:p>
        </w:tc>
      </w:tr>
    </w:tbl>
    <w:p>
      <w:pPr>
        <w:pStyle w:val="Heading3"/>
        <w:keepNext/>
        <w:spacing w:before="200" w:after="100"/>
      </w:pPr>
      <w:r>
        <w:rPr>
          <w:rFonts w:ascii="Times New Roman" w:cs="Times New Roman" w:eastAsia="Times New Roman" w:hAnsi="Times New Roman"/>
          <w:color w:val="1F4D78"/>
          <w:sz w:val="24"/>
          <w:szCs w:val="24"/>
        </w:rPr>
        <w:t xml:space="preserve">3.4.3. Validaciones que no se controlan en la base</w:t>
      </w:r>
    </w:p>
    <w:p>
      <w:pPr>
        <w:spacing w:after="120" w:line="276"/>
        <w:jc w:val="both"/>
      </w:pPr>
      <w:r>
        <w:rPr>
          <w:rFonts w:ascii="Times New Roman" w:cs="Times New Roman" w:eastAsia="Times New Roman" w:hAnsi="Times New Roman"/>
          <w:sz w:val="22"/>
          <w:szCs w:val="22"/>
        </w:rPr>
        <w:t xml:space="preserve">Hay reglas que quedan solo en el front y en el back porque dependen de algo que la base no conoce o que cambia con el tiempo: la fecha actual (ventana de inscripción, período de una autoevaluación), los parámetros del sistema (plazo de pago, plazo de edición de foros, mínimo de unidades por cohorte), el usuario (rol, autoría, titular o ayudante) y los servicios externos (pagos, videos). Tampoco se controlan las que suman datos de varias tablas, como las semanas de acceso frente a la duración del cronograma.</w:t>
      </w:r>
    </w:p>
    <w:p>
      <w:pPr>
        <w:pStyle w:val="Heading3"/>
        <w:keepNext/>
        <w:spacing w:before="200" w:after="100"/>
      </w:pPr>
      <w:r>
        <w:rPr>
          <w:rFonts w:ascii="Times New Roman" w:cs="Times New Roman" w:eastAsia="Times New Roman" w:hAnsi="Times New Roman"/>
          <w:color w:val="1F4D78"/>
          <w:sz w:val="24"/>
          <w:szCs w:val="24"/>
        </w:rPr>
        <w:t xml:space="preserve">3.4.4. Índices</w:t>
      </w:r>
    </w:p>
    <w:p>
      <w:pPr>
        <w:spacing w:after="120" w:line="276"/>
        <w:jc w:val="both"/>
      </w:pPr>
      <w:r>
        <w:rPr>
          <w:rFonts w:ascii="Times New Roman" w:cs="Times New Roman" w:eastAsia="Times New Roman" w:hAnsi="Times New Roman"/>
          <w:sz w:val="22"/>
          <w:szCs w:val="22"/>
        </w:rPr>
        <w:t xml:space="preserve">Un índice permite encontrar filas sin recorrer toda la tabla. Se usan de dos tipos. Los índices únicos parciales hacen cumplir las unicidades de 3.4.1 que se limitan a registros activos: Inscripción(alumno, cohorte) y DocenteCurso(curso, docente). Los índices de apoyo se crean sobre la clave foránea de las tablas hijas, porque PostgreSQL no los crea solo y los disparadores de baja y de datos congelados consultan justamente esos registros: Curso(categoría), Programa(curso), Cohorte(programa), Inscripción(cohorte), ClaseEnVivo(cohorte), Material(unidad), Autoevaluación(unidad), IntentoAutoevaluación(autoevaluación), ConsultaForo(unidad), RespuestaForo(consulta) y UnidadCronograma(unidad), más AutoevaluacionPool(pool), que no tiene baja. Todos son parciales (baja = falso), salvo este último, ya que solo se consultan registros activos. No hace falta repetir los casos que ya cubre un UNIQUE existente: Unidad por curso, Pool por unidad y término de glosario por unidad.</w:t>
      </w:r>
    </w:p>
    <w:p>
      <w:pPr>
        <w:pStyle w:val="Heading3"/>
        <w:keepNext/>
        <w:spacing w:before="200" w:after="100"/>
      </w:pPr>
      <w:r>
        <w:rPr>
          <w:rFonts w:ascii="Times New Roman" w:cs="Times New Roman" w:eastAsia="Times New Roman" w:hAnsi="Times New Roman"/>
          <w:color w:val="1F4D78"/>
          <w:sz w:val="24"/>
          <w:szCs w:val="24"/>
        </w:rPr>
        <w:t xml:space="preserve">3.4.5. Roles de la base de datos</w:t>
      </w:r>
    </w:p>
    <w:p>
      <w:pPr>
        <w:spacing w:after="80" w:line="276"/>
        <w:jc w:val="both"/>
      </w:pPr>
      <w:r>
        <w:rPr>
          <w:rFonts w:ascii="Times New Roman" w:cs="Times New Roman" w:eastAsia="Times New Roman" w:hAnsi="Times New Roman"/>
          <w:sz w:val="22"/>
          <w:szCs w:val="22"/>
        </w:rPr>
        <w:t xml:space="preserve">Además de los roles del sistema (Alumno, Docente y Administrador), que maneja Spring Security, en la base se definen dos roles que limitan qué se puede hacer sobre las tablas: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cantSplit/>
          <w:tblHeader/>
        </w:trPr>
        <w:tc>
          <w:tcPr>
            <w:tcW w:type="dxa" w:w="240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Rol</w:t>
            </w:r>
          </w:p>
        </w:tc>
        <w:tc>
          <w:tcPr>
            <w:tcW w:type="dxa" w:w="6626"/>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Permisos</w:t>
            </w:r>
          </w:p>
        </w:tc>
      </w:tr>
      <w:tr>
        <w:trPr>
          <w:cantSplit/>
        </w:trPr>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19"/>
                <w:szCs w:val="19"/>
              </w:rPr>
              <w:t xml:space="preserve">idoneos_administrador</w:t>
            </w:r>
          </w:p>
        </w:tc>
        <w:tc>
          <w:tcPr>
            <w:tcW w:type="dxa" w:w="66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19"/>
                <w:szCs w:val="19"/>
              </w:rPr>
              <w:t xml:space="preserve">Es el dueño del esquema. Crea tablas, restricciones, índices y disparadores con el script de despliegue. No lo usa la aplicación.</w:t>
            </w:r>
          </w:p>
        </w:tc>
      </w:tr>
      <w:tr>
        <w:trPr>
          <w:cantSplit/>
        </w:trPr>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19"/>
                <w:szCs w:val="19"/>
              </w:rPr>
              <w:t xml:space="preserve">idoneos_aplicacion</w:t>
            </w:r>
          </w:p>
        </w:tc>
        <w:tc>
          <w:tcPr>
            <w:tcW w:type="dxa" w:w="66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19"/>
                <w:szCs w:val="19"/>
              </w:rPr>
              <w:t xml:space="preserve">Es la cuenta con la que se conecta Spring. Solo puede leer, insertar y modificar (y borrar únicamente donde el modelo lo necesita, por ejemplo las sesiones). Como no borra registros de negocio, la baja lógica es obligatoria, y como no puede cambiar la estructura, no puede sacar restricciones ni disparadores. En Auditoría solo inserta, así que el historial no se altera.</w:t>
            </w:r>
          </w:p>
        </w:tc>
      </w:tr>
    </w:tbl>
    <w:p>
      <w:pPr>
        <w:spacing w:after="60"/>
      </w:pPr>
    </w:p>
    <w:p>
      <w:pPr>
        <w:spacing w:after="120" w:line="276"/>
        <w:jc w:val="both"/>
      </w:pPr>
      <w:r>
        <w:rPr>
          <w:rFonts w:ascii="Times New Roman" w:cs="Times New Roman" w:eastAsia="Times New Roman" w:hAnsi="Times New Roman"/>
          <w:sz w:val="22"/>
          <w:szCs w:val="22"/>
        </w:rPr>
        <w:t xml:space="preserve">Hoy la aplicación se conecta con el usuario postgres, que se saltea todos estos controles, por lo que pasa a usar idoneos_aplicacion.</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2">
    <w:name w:val="Heading 2"/>
    <w:basedOn w:val="Normal"/>
    <w:next w:val="Normal"/>
    <w:qFormat/>
    <w:pPr>
      <w:spacing w:before="240" w:after="120"/>
      <w:outlineLvl w:val="1"/>
    </w:pPr>
    <w:rPr>
      <w:rFonts w:ascii="Times New Roman" w:cs="Times New Roman" w:eastAsia="Times New Roman" w:hAnsi="Times New Roman"/>
      <w:color w:val="2E74B5"/>
      <w:sz w:val="26"/>
      <w:szCs w:val="26"/>
    </w:rPr>
  </w:style>
  <w:style w:type="paragraph" w:styleId="Heading3">
    <w:name w:val="Heading 3"/>
    <w:basedOn w:val="Normal"/>
    <w:next w:val="Normal"/>
    <w:qFormat/>
    <w:pPr>
      <w:spacing w:before="200" w:after="100"/>
      <w:outlineLvl w:val="2"/>
    </w:pPr>
    <w:rPr>
      <w:rFonts w:ascii="Times New Roman" w:cs="Times New Roman" w:eastAsia="Times New Roman" w:hAnsi="Times New Roman"/>
      <w:color w:val="1F4D78"/>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Validaciones en la Base de Datos</dc:title>
  <dc:creator>Idóneos Online</dc:creator>
  <cp:lastModifiedBy>Un-named</cp:lastModifiedBy>
  <cp:revision>1</cp:revision>
  <dcterms:created xsi:type="dcterms:W3CDTF">2026-10-26T07:54:10.006Z</dcterms:created>
  <dcterms:modified xsi:type="dcterms:W3CDTF">2026-10-26T07:54:10.009Z</dcterms:modified>
</cp:coreProperties>
</file>

<file path=docProps/custom.xml><?xml version="1.0" encoding="utf-8"?>
<Properties xmlns="http://schemas.openxmlformats.org/officeDocument/2006/custom-properties" xmlns:vt="http://schemas.openxmlformats.org/officeDocument/2006/docPropsVTypes"/>
</file>