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mh00ygmg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FutPlay WebApp — Requerimientos No Funcionales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FutPlay WebApp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2026-05-20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Documento Técnico Interno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ylk0rqh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requerimientos no funcionales (RNF) definen los </w:t>
      </w:r>
      <w:r w:rsidDel="00000000" w:rsidR="00000000" w:rsidRPr="00000000">
        <w:rPr>
          <w:b w:val="1"/>
          <w:bCs w:val="1"/>
          <w:rtl w:val="0"/>
        </w:rPr>
        <w:t xml:space="preserve">atributos de calidad</w:t>
      </w:r>
      <w:r w:rsidDel="00000000" w:rsidR="00000000" w:rsidRPr="00000000">
        <w:rPr>
          <w:rtl w:val="0"/>
        </w:rPr>
        <w:t xml:space="preserve"> del sistema FutPlay WebApp. No describen qué hace el sistema, sino </w:t>
      </w:r>
      <w:r w:rsidDel="00000000" w:rsidR="00000000" w:rsidRPr="00000000">
        <w:rPr>
          <w:b w:val="1"/>
          <w:bCs w:val="1"/>
          <w:rtl w:val="0"/>
        </w:rPr>
        <w:t xml:space="preserve">cómo debe comportarse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 restricciones relacionadas con: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legal y privacidad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requerimientos deben respetarse durante todo el ciclo de vida del sistema.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nk58g6eex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Convenciones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915"/>
        <w:tblGridChange w:id="0">
          <w:tblGrid>
            <w:gridCol w:w="134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RNF-PER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Rendimiento (Performance)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RNF-SEG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RNF-DIS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RNF-ESC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RNF-USA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RNF-MAN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RNF-COM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RNF-LEG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Legal / Privacidad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RNF-ARQ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e36e4d6sf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1: Rendimiento (Performance)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oha6x4rhn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RNF-PER-001 — Tiempo de carga inicial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u9d6h0q0a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páginas principales deben cargar en tiempos aceptables para garantizar una experiencia fluida.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wjcmwfmsw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objetivo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670"/>
        <w:tblGridChange w:id="0">
          <w:tblGrid>
            <w:gridCol w:w="327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Largest Contentful Paint (LCP)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2.5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First Input Delay (FID)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Cumulative Layout Shift (CLS)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Time to First Byte (TTFB)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800 ms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yebc9ame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Estrategias de cumplimiento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React Server Components (RSC)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SSR/ISR en páginas críticas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imágenes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next/image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splitting automático por rutas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vo0gup3c3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RNF-PER-002 — Latencia de operaciones críticas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gekxwtjfx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del sistema deben responder dentro de tiempos aceptables.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c0yujgfxb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 latencia</w:t>
      </w:r>
    </w:p>
    <w:tbl>
      <w:tblPr>
        <w:tblStyle w:val="Table3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2015"/>
        <w:tblGridChange w:id="0">
          <w:tblGrid>
            <w:gridCol w:w="296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 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Consulta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get_proxima_clase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Login OAuth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Inscripción a clase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1.5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Carga catálogo cápsulas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segundo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Carga dashboard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segundos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9qiiv0d55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RNF-PER-003 — Rendimiento del streaming de video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pkkk77d7w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videos servidos mediante Bunny.net deben iniciar reproducción rápidamente y sin interrupciones.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dtxtj7d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tbl>
      <w:tblPr>
        <w:tblStyle w:val="Table4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095"/>
        <w:tblGridChange w:id="0">
          <w:tblGrid>
            <w:gridCol w:w="362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Tiempo hasta primer frame (TTFF)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Buffering en conexión 10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Resoluciones soportadas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360p, 720p, 1080p adaptativo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cio6f4u8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multimedia es responsabilidad principal de Bunny.net CDN. La aplicación solo administra correctamente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bunny_video_id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oi4cadvpy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RNF-PER-004 — Respuesta del bot WhatsApp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pq6a94tpy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webhook de WhatsApp debe responder en tiempos razonables.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gpavd8f0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tbl>
      <w:tblPr>
        <w:tblStyle w:val="Table5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90"/>
        <w:tblGridChange w:id="0">
          <w:tblGrid>
            <w:gridCol w:w="327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Tiempo respuesta 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en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segundo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3sotan6l0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2: Seguridad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s3nhfecj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RNF-SEG-001 — Row Level Security (RLS) en toda la base de datos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cdshlxkz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tablas con información sensible deben utilizar políticas RLS.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taaitwqma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Tablas protegidas</w:t>
      </w:r>
    </w:p>
    <w:tbl>
      <w:tblPr>
        <w:tblStyle w:val="Table6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885"/>
        <w:tblGridChange w:id="0">
          <w:tblGrid>
            <w:gridCol w:w="162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acceso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Lectura propia y 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membresia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Lectura propia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Lectura e inserción propia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ficha_medica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Acceso restringido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Lectura propia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boleta_item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Lectura vía boleta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capsula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Lectura autenticados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g573o8eu5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crítica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sensible debe 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mediante RLS.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6zaljdgn8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RNF-SEG-002 — Uso controlado de SECURITY DEFINER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ppwmtduww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DEFINER</w:t>
      </w:r>
      <w:r w:rsidDel="00000000" w:rsidR="00000000" w:rsidRPr="00000000">
        <w:rPr>
          <w:rtl w:val="0"/>
        </w:rPr>
        <w:t xml:space="preserve"> deben mantenerse al mínimo y auditadas.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a5znxf25r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actuales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handle_new_user()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check_is_staff()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d52t9c10l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agregar nuevas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DEFINER</w:t>
      </w:r>
      <w:r w:rsidDel="00000000" w:rsidR="00000000" w:rsidRPr="00000000">
        <w:rPr>
          <w:rtl w:val="0"/>
        </w:rPr>
        <w:t xml:space="preserve"> sin revisión de seguridad.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rjsaunm5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RNF-SEG-003 — Separación de claves por entorno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v5ai425m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claves privadas nunca deben exponerse al cliente.</w:t>
      </w:r>
    </w:p>
    <w:tbl>
      <w:tblPr>
        <w:tblStyle w:val="Table7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1070"/>
        <w:gridCol w:w="1355"/>
        <w:tblGridChange w:id="0">
          <w:tblGrid>
            <w:gridCol w:w="3335"/>
            <w:gridCol w:w="107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Privada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BUNNY_API_KEY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Privada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4igvxraos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crítica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service_role_key</w:t>
      </w:r>
      <w:r w:rsidDel="00000000" w:rsidR="00000000" w:rsidRPr="00000000">
        <w:rPr>
          <w:rtl w:val="0"/>
        </w:rPr>
        <w:t xml:space="preserve"> jamás debe existir en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ef3de5rr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RNF-SEG-004 — Autenticación OAuth exclusiva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u2jxvyjgq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autenticación se delega completamente a Google OAuth y Supabase Auth.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6m09eov4i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Implicaciones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existen contraseñas propias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hashes de password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gestionadas con JWT y cookies HttpOnly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0pcn8j9jd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RNF-SEG-005 — Validación backend/SQL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avbkabbgz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críticas de negocio deben validarse mediante PostgreSQL.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gkkq6z7l1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Triggers críticos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manejar_inscripcion_clase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limitar_15_alumnos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check_membresia_activa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ffl33rjud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RNF-SEG-006 — Protección de rutas administrativas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tsb1gcf2g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rutas administrativas deben validar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fimmn7fk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 requerida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&lt;AuthGuard allowedRoles={["administrador"]}&gt;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b6h5slmb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actual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continúa accesible sin autenticación.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8oiunbni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RNF-SEG-007 — Headers de seguridad HTTP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2v4oi56w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 requeridos</w:t>
      </w:r>
    </w:p>
    <w:tbl>
      <w:tblPr>
        <w:tblStyle w:val="Table8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980"/>
        <w:tblGridChange w:id="0">
          <w:tblGrid>
            <w:gridCol w:w="291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X-Frame-Options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X-Content-Type-Options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nosniff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max-age=31536000; includeSubDomains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Content-Security-Policy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Restrictiva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vawcx7ta7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o59n6lbzj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3: Disponibilidad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p00tsrbst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RNF-DIS-001 — SLA del sistema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sdizjmz7c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tbl>
      <w:tblPr>
        <w:tblStyle w:val="Table9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405"/>
        <w:tblGridChange w:id="0">
          <w:tblGrid>
            <w:gridCol w:w="251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Ventana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Domingo 02:00–04:00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hora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24 horas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s7v7r84x6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Proveedores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Supabase: 99.9% SLA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Vercel: 99.99% SLA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d38ayi34q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RNF-DIS-002 — Manejo de errores y degradación elegante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r8k3zhooa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Comportamientos esperados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Supabase → mensaje visual amigable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Falla Bunny CDN → placeholder de video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 WhatsApp offline → sistema continúa operativo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→ opción de reintentar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bv4odf93c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RNF-DIS-003 — Respaldo de base de datos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k4p84xw45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 de backups</w:t>
      </w:r>
    </w:p>
    <w:tbl>
      <w:tblPr>
        <w:tblStyle w:val="Table10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030"/>
        <w:gridCol w:w="1250"/>
        <w:tblGridChange w:id="0">
          <w:tblGrid>
            <w:gridCol w:w="3050"/>
            <w:gridCol w:w="203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Backup automático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Backup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Antes migraciones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Indefinido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n5cm7aj12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4: Escalabilidad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45rooubu4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RNF-ESC-001 — Arquitectura multi-sede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20ieg9o9w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soportar múltiples sedes sin cambios estructurales.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9on4wgk92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</w:t>
      </w:r>
      <w:r w:rsidDel="00000000" w:rsidR="00000000" w:rsidRPr="00000000">
        <w:rPr>
          <w:rtl w:val="0"/>
        </w:rPr>
        <w:t xml:space="preserve"> relacionada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3pbg6nl41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Escalamiento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una nueva sede solo requiere un INSERT.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wvrkz0aig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RNF-ESC-002 — Concurrencia de usuarios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7sub5gmdw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tbl>
      <w:tblPr>
        <w:tblStyle w:val="Table11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525"/>
        <w:gridCol w:w="2375"/>
        <w:tblGridChange w:id="0">
          <w:tblGrid>
            <w:gridCol w:w="2045"/>
            <w:gridCol w:w="252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Operación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Sin degradación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Pico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3x tiempo 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Inscripción masiva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simultáneos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Integridad garantizada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rcs8oat3n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Observación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utiliza pgBouncer para connection pooling.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bnfadle54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RNF-ESC-003 — Escalamiento del LMS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94ga7af8m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tbl>
      <w:tblPr>
        <w:tblStyle w:val="Table12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375"/>
        <w:tblGridChange w:id="0">
          <w:tblGrid>
            <w:gridCol w:w="293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Cápsulas sin paginación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Cápsulas con paginación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Sin límite práctico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Videos Bunny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Según plan contratado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Catálogo con 500+ cápsulas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segundo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suo7hanws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5: Usabilidad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t3w77tn9a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RNF-USA-001 — Diseño responsivo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gxmh2h9fp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Breakpoints</w:t>
      </w:r>
    </w:p>
    <w:tbl>
      <w:tblPr>
        <w:tblStyle w:val="Table13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370"/>
        <w:gridCol w:w="1985"/>
        <w:tblGridChange w:id="0">
          <w:tblGrid>
            <w:gridCol w:w="1730"/>
            <w:gridCol w:w="137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640px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Sidebar colapsado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640px – 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Sidebar reducido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Sidebar completo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5d5yt3ykgh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RNF-USA-002 — Feedback visual en operaciones asíncronas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ud7549eg6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Estándares UX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states con spinner o skeleton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de éxito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descriptivos de error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inline en formularios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bnjtm1y05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RNF-USA-003 — Identidad visual consistente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nheo5k0og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 principal</w:t>
      </w:r>
    </w:p>
    <w:tbl>
      <w:tblPr>
        <w:tblStyle w:val="Table14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865"/>
        <w:gridCol w:w="2720"/>
        <w:tblGridChange w:id="0">
          <w:tblGrid>
            <w:gridCol w:w="1910"/>
            <w:gridCol w:w="186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Azul 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Fondos y 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#001529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#001c37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#002447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Naranja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CTAs y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#F28C28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#F39200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#FC9910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Verde éxito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Confirmaciones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#00A86B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#009960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Fondo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Layout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#F8F9FB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#f9fafb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v6l2fou8y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RNF-USA-004 — Accesibilidad básica (WCAG 2.1 AA)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8p7av8k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mínimos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Contraste ≥ 4.5:1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teclado funcional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9inamohmq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RNF-USA-005 — Mensajes de error descriptivos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b9x781s86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Conversión de errores técnicos</w:t>
      </w:r>
    </w:p>
    <w:tbl>
      <w:tblPr>
        <w:tblStyle w:val="Table15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620"/>
        <w:tblGridChange w:id="0">
          <w:tblGrid>
            <w:gridCol w:w="230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Sin membresía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“Necesitas un plan activo”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Sin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“Has utilizado todos tus tokens”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Clase llena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“Esta clase está llena”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Membresía duplicada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“Ya tienes un plan activo este mes”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6c2upzy1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6: Mantenibilidad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1tu5uzzwp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RNF-MAN-001 — Separación de responsabilidades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gag5yri8o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por capas</w:t>
      </w:r>
    </w:p>
    <w:tbl>
      <w:tblPr>
        <w:tblStyle w:val="Table16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375"/>
        <w:gridCol w:w="1715"/>
        <w:tblGridChange w:id="0">
          <w:tblGrid>
            <w:gridCol w:w="1715"/>
            <w:gridCol w:w="237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UI y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Next.js + 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Queries y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/src/data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Negocio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Triggers y 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Sesiones y guards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API Routes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d0e7nmqa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crítica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 negocio nunca debe existir únicamente en frontend.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jzyd94sdn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RNF-MAN-002 — Tipado estático TypeScript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h2zrgisyo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Estándares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Tipado completo de Supabase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de dominio tipadas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 React tipadas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lkhmbg88d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RNF-MAN-003 — Documentación de base de datos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lc9kcyt5n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Archivos oficiales</w:t>
      </w:r>
    </w:p>
    <w:tbl>
      <w:tblPr>
        <w:tblStyle w:val="Table17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730"/>
        <w:tblGridChange w:id="0">
          <w:tblGrid>
            <w:gridCol w:w="269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Tablas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columns-types.md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Columnas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foreignkey-relations.md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policies.md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Políticas RLS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funciones-new.md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Funciones 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Enumeraciones</w:t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2k1uojxg7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migración debe actualizar la documentación.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b7t76db5x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RNF-MAN-004 — Convenciones de código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tbl>
      <w:tblPr>
        <w:tblStyle w:val="Table18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React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Funciones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snake_case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Client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-client.tsx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ENV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SCREAMING_SNAKE_CASE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cn4w6devm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RNF-MAN-005 — Modularidad de componentes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3hyhcdi9w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recomendada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/admin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/checkout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/landingPage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/navbars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/userDashboard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/videoPlayer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e8ttvhzbnd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7: Compatibilidad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dyddsjcbx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RNF-COM-001 — Navegadores soportados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tbl>
      <w:tblPr>
        <w:tblStyle w:val="Table19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135"/>
        <w:gridCol w:w="1175"/>
        <w:tblGridChange w:id="0">
          <w:tblGrid>
            <w:gridCol w:w="1355"/>
            <w:gridCol w:w="213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Últimas 2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Últimas 2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Últimas 2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Últimas 2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 soportado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xtl233qjw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RNF-COM-002 — Compatibilidad móvil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tbl>
      <w:tblPr>
        <w:tblStyle w:val="Table20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850"/>
        <w:tblGridChange w:id="0">
          <w:tblGrid>
            <w:gridCol w:w="186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iOS 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iOS 15+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Android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Android 10+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qgk9s8dp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RNF-COM-003 — Compatibilidad del stack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tbl>
      <w:tblPr>
        <w:tblStyle w:val="Table2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280"/>
        <w:gridCol w:w="2615"/>
        <w:tblGridChange w:id="0">
          <w:tblGrid>
            <w:gridCol w:w="1565"/>
            <w:gridCol w:w="128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16.x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Migración planificada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Supabase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^2.103.x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Auto-update minor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^5.x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Revisión semestral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Migración planificada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LTS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Actualizar siguiente LTS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1pwfc46no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8: Legal y Privacidad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dlidqqh04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RNF-LEG-001 — Protección de datos personales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rs5nabghz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Cumplimiento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 19.628 de Protección de Datos Personales de Chile.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jlofk11ko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sensibles tratados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médicos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financiero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u5u7iw8vu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Medidas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 estricta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limitado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privacidad visible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compartir datos sin consentimiento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f0zeqmpe1m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RNF-LEG-002 — Retención y eliminación de datos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zgk7qro1k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Eliminación o anonimización de datos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 financiera mínima de 6 años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videos Bunny vía API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ifq7malb2f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RNF-LEG-003 — Seguridad de datos médicos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qz26bnys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Controles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propietario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solo lectura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administrativa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exportación masiva no autorizada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isbp5o36s4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 9: Arquitectura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lqqddi3dp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RNF-ARQ-001 — Backend-first para lógica crítica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lir24pob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principal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lógica crítica debe implementarse en PostgreSQL mediante triggers y funciones SQL.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ttchnj7e4z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RNF-ARQ-002 — Uso de Server Components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u3gawjpl1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Páginas SSR actuales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capsules/page.tsx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dashboard/page.tsx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admin/page.tsx</w:t>
      </w:r>
      <w:r w:rsidDel="00000000" w:rsidR="00000000" w:rsidRPr="00000000">
        <w:rPr>
          <w:rtl w:val="0"/>
        </w:rPr>
        <w:t xml:space="preserve"> (candidata SSR parcial)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2u80c7ddmd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RNF-ARQ-003 — Variables de entorno centralizadas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9pvlfa25q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requeridas</w:t>
      </w:r>
    </w:p>
    <w:tbl>
      <w:tblPr>
        <w:tblStyle w:val="Table22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965"/>
        <w:gridCol w:w="1910"/>
        <w:tblGridChange w:id="0">
          <w:tblGrid>
            <w:gridCol w:w="3335"/>
            <w:gridCol w:w="96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BUNNY_API_KEY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Bunny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BUNNY_LIBRARY_ID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Biblioteca Bunny</w:t>
            </w:r>
          </w:p>
        </w:tc>
      </w:tr>
    </w:tbl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tk94uf2qa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nunca debe versionarse en Git.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9qf77lrq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RNF-ARQ-004 — Versionado y despliegue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ohs9cle2g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Git recomendado</w:t>
      </w:r>
    </w:p>
    <w:tbl>
      <w:tblPr>
        <w:tblStyle w:val="Table23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270"/>
        <w:tblGridChange w:id="0">
          <w:tblGrid>
            <w:gridCol w:w="119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Desarrollo individual</w:t>
            </w:r>
          </w:p>
        </w:tc>
      </w:tr>
    </w:tbl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1txkgwmr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Request obligatorio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previa a merge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 versionadas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/supabase/migrations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howeilvhzt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General de RNF</w:t>
      </w:r>
    </w:p>
    <w:tbl>
      <w:tblPr>
        <w:tblStyle w:val="Table24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190"/>
        <w:gridCol w:w="1370"/>
        <w:tblGridChange w:id="0">
          <w:tblGrid>
            <w:gridCol w:w="1985"/>
            <w:gridCol w:w="119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Críticos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Legal / 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1bvmcfqd1j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Riesgo</w:t>
      </w:r>
    </w:p>
    <w:tbl>
      <w:tblPr>
        <w:tblStyle w:val="Table25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185"/>
        <w:gridCol w:w="1085"/>
        <w:tblGridChange w:id="0">
          <w:tblGrid>
            <w:gridCol w:w="1775"/>
            <w:gridCol w:w="318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RNF-SEG-001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Acceso indebido a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RNF-SEG-003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claves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RNF-SEG-006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RNF-LEG-003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RNF-PER-001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Mala experiencia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RNF-DIS-001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Interrupción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RNF-USA-005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Confusión y soporte excesivo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RNF-MAN-002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Bugs difíciles de rastrear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