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7676" w14:textId="77777777" w:rsidR="00D56D97" w:rsidRPr="0042039F" w:rsidRDefault="00D56D97" w:rsidP="00F2576F">
      <w:pPr>
        <w:pStyle w:val="Title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Joaquin Menendez</w:t>
      </w:r>
    </w:p>
    <w:p w14:paraId="4B7B7D8A" w14:textId="3BA7905D" w:rsidR="00BB42D7" w:rsidRDefault="00BB42D7" w:rsidP="00BB42D7">
      <w:pPr>
        <w:pStyle w:val="Heading3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 xml:space="preserve">| </w:t>
      </w:r>
      <w:r>
        <w:rPr>
          <w:rFonts w:ascii="Roboto" w:hAnsi="Roboto"/>
          <w:color w:val="343A40"/>
          <w:sz w:val="26"/>
          <w:szCs w:val="26"/>
          <w:shd w:val="clear" w:color="auto" w:fill="FFFFFF"/>
          <w:lang w:val="es-AR"/>
        </w:rPr>
        <w:t xml:space="preserve">Diógenes Taborda 610 - Capital </w:t>
      </w:r>
      <w:r w:rsidR="005B6F86">
        <w:rPr>
          <w:rFonts w:ascii="Roboto" w:hAnsi="Roboto"/>
          <w:color w:val="343A40"/>
          <w:sz w:val="26"/>
          <w:szCs w:val="26"/>
          <w:shd w:val="clear" w:color="auto" w:fill="FFFFFF"/>
          <w:lang w:val="es-AR"/>
        </w:rPr>
        <w:t>Federal |</w:t>
      </w:r>
      <w:r>
        <w:rPr>
          <w:rFonts w:ascii="Arial" w:hAnsi="Arial" w:cs="Arial"/>
          <w:color w:val="262626" w:themeColor="text1" w:themeTint="D9"/>
          <w:lang w:val="es-AR"/>
        </w:rPr>
        <w:t xml:space="preserve"> </w:t>
      </w:r>
      <w:r w:rsidR="00832294" w:rsidRPr="00832294">
        <w:rPr>
          <w:rFonts w:ascii="Arial" w:hAnsi="Arial" w:cs="Arial"/>
          <w:color w:val="262626" w:themeColor="text1" w:themeTint="D9"/>
          <w:lang w:val="es-AR"/>
        </w:rPr>
        <w:t>11-2255-9559</w:t>
      </w:r>
      <w:bookmarkStart w:id="0" w:name="_GoBack"/>
      <w:bookmarkEnd w:id="0"/>
      <w:r>
        <w:rPr>
          <w:rFonts w:ascii="Arial" w:hAnsi="Arial" w:cs="Arial"/>
          <w:color w:val="262626" w:themeColor="text1" w:themeTint="D9"/>
          <w:lang w:val="es-AR"/>
        </w:rPr>
        <w:tab/>
        <w:t>| joaquin.menendez@duke.edu |</w:t>
      </w:r>
    </w:p>
    <w:p w14:paraId="170D9ACA" w14:textId="77777777" w:rsidR="00A53A6D" w:rsidRPr="0042039F" w:rsidRDefault="00A53A6D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7FF7F62B" w14:textId="27702720" w:rsidR="00D56D97" w:rsidRPr="0042039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EDUCA</w:t>
      </w:r>
      <w:r w:rsidR="00262B95" w:rsidRPr="0042039F">
        <w:rPr>
          <w:rFonts w:ascii="Arial" w:hAnsi="Arial" w:cs="Arial"/>
          <w:color w:val="262626" w:themeColor="text1" w:themeTint="D9"/>
          <w:lang w:val="es-AR"/>
        </w:rPr>
        <w:t>CI</w:t>
      </w:r>
      <w:r w:rsidR="00E513C9">
        <w:rPr>
          <w:rFonts w:ascii="Arial" w:hAnsi="Arial" w:cs="Arial"/>
          <w:color w:val="262626" w:themeColor="text1" w:themeTint="D9"/>
          <w:lang w:val="es-AR"/>
        </w:rPr>
        <w:t>O</w:t>
      </w:r>
      <w:r w:rsidR="00262B95" w:rsidRPr="0042039F">
        <w:rPr>
          <w:rFonts w:ascii="Arial" w:hAnsi="Arial" w:cs="Arial"/>
          <w:color w:val="262626" w:themeColor="text1" w:themeTint="D9"/>
          <w:lang w:val="es-AR"/>
        </w:rPr>
        <w:t>N</w:t>
      </w:r>
    </w:p>
    <w:p w14:paraId="66ABD810" w14:textId="2818CA1E" w:rsidR="00D56D97" w:rsidRPr="0042039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Duke University, North Carolina, </w:t>
      </w:r>
      <w:r w:rsidR="007E34E0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Estados Unidos</w:t>
      </w:r>
    </w:p>
    <w:p w14:paraId="698CD52C" w14:textId="28F9DD11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Master </w:t>
      </w:r>
      <w:r w:rsidR="007E34E0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en</w:t>
      </w: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Interdisciplinary Data Science (MIDS) -</w:t>
      </w:r>
      <w:r w:rsidR="0042039F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Beca</w:t>
      </w: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Fulbright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| Ag</w:t>
      </w:r>
      <w:r w:rsidR="0042039F" w:rsidRPr="006E6338">
        <w:rPr>
          <w:rFonts w:ascii="Arial" w:hAnsi="Arial" w:cs="Arial"/>
          <w:color w:val="262626" w:themeColor="text1" w:themeTint="D9"/>
          <w:sz w:val="20"/>
          <w:szCs w:val="20"/>
        </w:rPr>
        <w:t>o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2018 - May 2020</w:t>
      </w:r>
    </w:p>
    <w:p w14:paraId="3C2D2BA6" w14:textId="77777777" w:rsidR="0042039F" w:rsidRPr="006E6338" w:rsidRDefault="0042039F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</w:p>
    <w:p w14:paraId="19DF02EB" w14:textId="62967BBE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</w:t>
      </w:r>
      <w:r w:rsid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dad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Buenos Aires (UBA), Argentina 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| Mar 2009 - Nov 2014</w:t>
      </w:r>
    </w:p>
    <w:p w14:paraId="1B7FB9C1" w14:textId="4D9618E0" w:rsidR="00D56D97" w:rsidRPr="0042039F" w:rsidRDefault="0042039F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Licenciatura en psicología </w:t>
      </w:r>
    </w:p>
    <w:p w14:paraId="0E05E66D" w14:textId="3ABFBEF7" w:rsidR="00D56D97" w:rsidRPr="0042039F" w:rsidRDefault="0042039F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Ayudante de catedra</w:t>
      </w:r>
      <w:r w:rsidR="00E44F64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</w:t>
      </w:r>
    </w:p>
    <w:p w14:paraId="136597C0" w14:textId="4A3949B3" w:rsidR="00D56D97" w:rsidRPr="0042039F" w:rsidRDefault="0042039F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Neurofisiología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| Jul 2011 -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Dic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2012</w:t>
      </w:r>
    </w:p>
    <w:p w14:paraId="3B7B6469" w14:textId="0251472C" w:rsidR="00D56D97" w:rsidRPr="0042039F" w:rsidRDefault="0042039F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Biología del comportamiento |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Mar 2014 - Jan 2015</w:t>
      </w:r>
    </w:p>
    <w:p w14:paraId="07C7EAD0" w14:textId="203B8D3D" w:rsidR="00D56D97" w:rsidRPr="0042039F" w:rsidRDefault="0042039F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Universidad </w:t>
      </w:r>
      <w:r w:rsidR="000F10DB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Autónoma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de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Madrid (UAM),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España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–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Beca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Santander 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| </w:t>
      </w:r>
      <w:r w:rsidR="00E513C9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Ene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2013 - Jul 2013</w:t>
      </w:r>
    </w:p>
    <w:p w14:paraId="1B87D8CC" w14:textId="7406EF32" w:rsidR="00D56D97" w:rsidRPr="0042039F" w:rsidRDefault="00E513C9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Estudiante internacional de </w:t>
      </w:r>
      <w:r w:rsidR="000F10DB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intercambio</w:t>
      </w:r>
      <w:r w:rsidR="00F2576F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4594DC88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7ADD1FC0" w14:textId="71B77346" w:rsidR="00D56D97" w:rsidRPr="0042039F" w:rsidRDefault="00E513C9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>EXPERIENCIA PROFRESIONAL</w:t>
      </w:r>
    </w:p>
    <w:p w14:paraId="1017FA7F" w14:textId="006A4515" w:rsidR="00D56D97" w:rsidRPr="0042039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Data Science Intern</w:t>
      </w:r>
      <w:r w:rsidR="00E513C9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(</w:t>
      </w:r>
      <w:r w:rsidR="000F10DB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Pasantía</w:t>
      </w:r>
      <w:r w:rsidR="00E513C9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en ciencia de datos)</w:t>
      </w:r>
    </w:p>
    <w:p w14:paraId="02F1836D" w14:textId="19F71A48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Duke Forge, Durham, </w:t>
      </w:r>
      <w:r w:rsidR="00E513C9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Estados Unidos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| May 2019 - Ag</w:t>
      </w:r>
      <w:r w:rsidR="00E513C9"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o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2019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1075CEA3" w14:textId="7ED6DB35" w:rsidR="00493674" w:rsidRPr="00164016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Examine el vínculo entre determinantes sociales y la predicción de riesgos de nuevos ingresos hospitalarios. 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Evalué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si los determinantes sociales afectan ese riesgo de manera sistemática.[</w:t>
      </w:r>
      <w:hyperlink r:id="rId6" w:history="1">
        <w:r w:rsidR="00493674" w:rsidRPr="0016401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Link</w:t>
        </w:r>
      </w:hyperlink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</w:p>
    <w:p w14:paraId="128502FB" w14:textId="13A47465" w:rsidR="00493674" w:rsidRPr="00164016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Apliqu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métodos de aprendizaje automático, predicción de riesgos y evaluación del sesgo en las clasificaciones.</w:t>
      </w:r>
    </w:p>
    <w:p w14:paraId="13D020C4" w14:textId="27120F26" w:rsidR="00493674" w:rsidRPr="00493674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rogram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un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tablero interactivo usando Plotly (Dash) para explorar el sesgo de clasificación en diferentes variables.</w:t>
      </w:r>
    </w:p>
    <w:p w14:paraId="022728CA" w14:textId="762CE1E4" w:rsidR="00493674" w:rsidRDefault="00D362E0" w:rsidP="00472B78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resent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los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resultados a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las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diferentes partes interesadas (investigadores, médicos y gerentes de hospitales)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Realic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inform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es periódicos a estas partes acerca del estado y avances de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nuestro análisis.</w:t>
      </w:r>
    </w:p>
    <w:p w14:paraId="436EBB4E" w14:textId="77777777" w:rsidR="00493674" w:rsidRPr="00493674" w:rsidRDefault="00493674" w:rsidP="00493674">
      <w:pPr>
        <w:spacing w:after="0" w:line="276" w:lineRule="auto"/>
        <w:ind w:left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53065B5E" w14:textId="1248EE03" w:rsidR="00D56D97" w:rsidRPr="0042039F" w:rsidRDefault="00E513C9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Docente Universitario</w:t>
      </w:r>
      <w:r w:rsidR="00D56D97"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–</w:t>
      </w:r>
      <w:r w:rsidR="00D56D97"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‘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Métodos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psicofisiológicos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’</w:t>
      </w:r>
    </w:p>
    <w:p w14:paraId="35EC18EA" w14:textId="349B63FB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dad 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Buenos Aires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, Facultad 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9E1915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Psicología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, Argentina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  |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Jul 2015 - Oct 2018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ab/>
      </w:r>
    </w:p>
    <w:p w14:paraId="3F690AF2" w14:textId="77777777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Impartí cursos de pregrado en temas que incluyeron: diseño experimental, estadística, electroencefalografía (EEG) y respuesta de conductancia de la piel (SCR).</w:t>
      </w:r>
    </w:p>
    <w:p w14:paraId="3BD5C18D" w14:textId="157A9026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Cre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y actualic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el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material del curso; incluyendo experimentos de laboratorio,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capítulos de libro y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diapo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sitiva.</w:t>
      </w:r>
    </w:p>
    <w:p w14:paraId="59207B25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Asesoré tres tesis de pregrado.</w:t>
      </w:r>
    </w:p>
    <w:p w14:paraId="661C7F70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51A5BEC" w14:textId="4E211481" w:rsidR="00D56D97" w:rsidRPr="0042039F" w:rsidRDefault="009E1915" w:rsidP="00493674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Asistente de Investigación </w:t>
      </w:r>
    </w:p>
    <w:p w14:paraId="7F453EDA" w14:textId="1E8ED5AE" w:rsidR="00D56D97" w:rsidRPr="0042039F" w:rsidRDefault="009E1915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Instituto de Biología y Medicina Experimental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(IB</w:t>
      </w:r>
      <w:r w:rsidR="00472B78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Y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ME-CONICET), Argentina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| Sep 2015 - Ag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2018</w:t>
      </w:r>
    </w:p>
    <w:p w14:paraId="5937FAA1" w14:textId="6A303230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Investig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u</w:t>
      </w:r>
      <w:r w:rsidR="00D362E0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los mecanismos por el cual se da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el aprendizaje 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de categorías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utilizando registros de electroencefalografía (ERP) y datos comportam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entales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5396E919" w14:textId="77777777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Diseñé y programé experimentos computarizados en Python.</w:t>
      </w:r>
    </w:p>
    <w:p w14:paraId="5F795286" w14:textId="3B84AFCF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Implementé un protocolo de procesamiento de datos electroencefalográficos en MATLAB que implicó el rechazo de época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s ruidosas en registros de EEG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y el análisis de componentes independientes (ICA)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para remover artefactos de la señal.</w:t>
      </w:r>
    </w:p>
    <w:p w14:paraId="1C4865BA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Usé R y SPSS para realizar análisis estadísticos inferenciales</w:t>
      </w:r>
    </w:p>
    <w:p w14:paraId="03031B25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3D63A3EF" w14:textId="7A7BACEA" w:rsidR="00A53A6D" w:rsidRPr="0042039F" w:rsidRDefault="00493674" w:rsidP="00493674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Pasante</w:t>
      </w:r>
      <w:r w:rsidR="009E1915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de 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Investigación</w:t>
      </w:r>
    </w:p>
    <w:p w14:paraId="3294E410" w14:textId="1896BF20" w:rsidR="00D56D97" w:rsidRPr="0042039F" w:rsidRDefault="00472B78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lastRenderedPageBreak/>
        <w:t xml:space="preserve">Instituto de Biología y Medicina Experimental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(IB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Y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ME-CONICET), Argentina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| Ag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2014 -Sep 2015</w:t>
      </w:r>
    </w:p>
    <w:p w14:paraId="2A41570D" w14:textId="77777777" w:rsidR="00493674" w:rsidRPr="006E6338" w:rsidRDefault="00493674" w:rsidP="00493674">
      <w:pPr>
        <w:rPr>
          <w:rFonts w:ascii="Arial" w:eastAsia="Times New Roman" w:hAnsi="Arial" w:cs="Arial"/>
          <w:color w:val="777777"/>
          <w:sz w:val="20"/>
          <w:szCs w:val="20"/>
          <w:lang w:val="es-AR"/>
        </w:rPr>
      </w:pPr>
    </w:p>
    <w:p w14:paraId="4C721B84" w14:textId="6DEED226" w:rsidR="00493674" w:rsidRPr="00617F0E" w:rsidRDefault="00493674" w:rsidP="00493674">
      <w:pPr>
        <w:rPr>
          <w:rFonts w:ascii="Arial" w:hAnsi="Arial" w:cs="Arial"/>
          <w:sz w:val="20"/>
          <w:szCs w:val="20"/>
          <w:lang w:val="es-AR"/>
        </w:rPr>
      </w:pP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Pr="00617F0E">
        <w:rPr>
          <w:rFonts w:ascii="Arial" w:hAnsi="Arial" w:cs="Arial"/>
          <w:sz w:val="20"/>
          <w:szCs w:val="20"/>
          <w:lang w:val="es-AR"/>
        </w:rPr>
        <w:t xml:space="preserve">Proyecto de </w:t>
      </w:r>
      <w:r w:rsidR="00617F0E" w:rsidRPr="00617F0E">
        <w:rPr>
          <w:rFonts w:ascii="Arial" w:hAnsi="Arial" w:cs="Arial"/>
          <w:sz w:val="20"/>
          <w:szCs w:val="20"/>
          <w:lang w:val="es-AR"/>
        </w:rPr>
        <w:t>investigación</w:t>
      </w:r>
      <w:r w:rsidRPr="00617F0E">
        <w:rPr>
          <w:rFonts w:ascii="Arial" w:hAnsi="Arial" w:cs="Arial"/>
          <w:sz w:val="20"/>
          <w:szCs w:val="20"/>
          <w:lang w:val="es-AR"/>
        </w:rPr>
        <w:t>: "Correlatos neurofisiológicos del priming semántico directo e indirecto: procedimientos de verificación de procesos conductuales".</w:t>
      </w:r>
      <w:r w:rsidRPr="00617F0E">
        <w:rPr>
          <w:rFonts w:ascii="Arial" w:hAnsi="Arial" w:cs="Arial"/>
          <w:sz w:val="20"/>
          <w:szCs w:val="20"/>
          <w:lang w:val="es-AR"/>
        </w:rPr>
        <w:br/>
      </w: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Pr="00617F0E">
        <w:rPr>
          <w:rFonts w:ascii="Arial" w:hAnsi="Arial" w:cs="Arial"/>
          <w:sz w:val="20"/>
          <w:szCs w:val="20"/>
          <w:lang w:val="es-AR"/>
        </w:rPr>
        <w:t xml:space="preserve">Colabore con el diseño experimental, la recolección de datos electroencefalográficos y de comportamiento y la posterior limpieza y análisis de </w:t>
      </w:r>
      <w:r w:rsidR="00617F0E" w:rsidRPr="00617F0E">
        <w:rPr>
          <w:rFonts w:ascii="Arial" w:hAnsi="Arial" w:cs="Arial"/>
          <w:sz w:val="20"/>
          <w:szCs w:val="20"/>
          <w:lang w:val="es-AR"/>
        </w:rPr>
        <w:t>estos</w:t>
      </w:r>
      <w:r w:rsidRPr="00617F0E">
        <w:rPr>
          <w:rFonts w:ascii="Arial" w:hAnsi="Arial" w:cs="Arial"/>
          <w:sz w:val="20"/>
          <w:szCs w:val="20"/>
          <w:lang w:val="es-AR"/>
        </w:rPr>
        <w:t>.</w:t>
      </w:r>
    </w:p>
    <w:p w14:paraId="040A7A6A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106DC4C" w14:textId="7A27F6A6" w:rsidR="00D56D97" w:rsidRPr="0042039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SOFTWARE</w:t>
      </w:r>
      <w:r w:rsidR="009E1915">
        <w:rPr>
          <w:rFonts w:ascii="Arial" w:hAnsi="Arial" w:cs="Arial"/>
          <w:color w:val="262626" w:themeColor="text1" w:themeTint="D9"/>
          <w:lang w:val="es-AR"/>
        </w:rPr>
        <w:t>S</w:t>
      </w:r>
    </w:p>
    <w:p w14:paraId="1F3E1465" w14:textId="3FC8D8AD" w:rsidR="00D56D97" w:rsidRPr="0042039F" w:rsidRDefault="009E191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Lenguajes de </w:t>
      </w:r>
      <w:r w:rsidR="00617F0E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programación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Python, MATLAB</w:t>
      </w:r>
    </w:p>
    <w:p w14:paraId="2BA136CB" w14:textId="6D6BEDA1" w:rsidR="00D56D97" w:rsidRPr="0042039F" w:rsidRDefault="009E191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Bases de datos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:  MySQL, Neo4j, Hadoop, Spark </w:t>
      </w:r>
    </w:p>
    <w:p w14:paraId="62BFC3E3" w14:textId="3BD96DFC" w:rsidR="00D56D97" w:rsidRPr="006E6338" w:rsidRDefault="00617F0E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Estadística</w:t>
      </w:r>
      <w:r w:rsidR="00D56D97" w:rsidRPr="006E6338">
        <w:rPr>
          <w:rFonts w:ascii="Arial" w:hAnsi="Arial" w:cs="Arial"/>
          <w:color w:val="262626" w:themeColor="text1" w:themeTint="D9"/>
          <w:sz w:val="20"/>
          <w:szCs w:val="20"/>
        </w:rPr>
        <w:t>: R, SPSS</w:t>
      </w:r>
    </w:p>
    <w:p w14:paraId="71CAD9DE" w14:textId="77777777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Frameworks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: NumPy, SciPy, </w:t>
      </w:r>
      <w:r w:rsidR="00A53A6D" w:rsidRPr="006E6338">
        <w:rPr>
          <w:rFonts w:ascii="Arial" w:hAnsi="Arial" w:cs="Arial"/>
          <w:color w:val="262626" w:themeColor="text1" w:themeTint="D9"/>
          <w:sz w:val="20"/>
          <w:szCs w:val="20"/>
        </w:rPr>
        <w:t>Pandas,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Scikit-learn, dplyr, EEGLAB, MNE</w:t>
      </w:r>
    </w:p>
    <w:p w14:paraId="0E1503E6" w14:textId="00C47767" w:rsidR="00D56D97" w:rsidRPr="006E6338" w:rsidRDefault="00617F0E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Visualización</w:t>
      </w:r>
      <w:r w:rsidR="00D56D97" w:rsidRPr="006E6338">
        <w:rPr>
          <w:rFonts w:ascii="Arial" w:hAnsi="Arial" w:cs="Arial"/>
          <w:color w:val="262626" w:themeColor="text1" w:themeTint="D9"/>
          <w:sz w:val="20"/>
          <w:szCs w:val="20"/>
        </w:rPr>
        <w:t>: Tableau, Matplotlib, Seaborn, ggplot2, Plotly</w:t>
      </w:r>
    </w:p>
    <w:p w14:paraId="19811748" w14:textId="617C0871" w:rsidR="00944025" w:rsidRDefault="00944025" w:rsidP="00944025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AC27D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Cloud Computing: 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>AWS</w:t>
      </w:r>
      <w:r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 xml:space="preserve"> Google Cloud </w:t>
      </w:r>
    </w:p>
    <w:p w14:paraId="6E5CB4A2" w14:textId="35AA7C9E" w:rsidR="006E6338" w:rsidRPr="00BB42D7" w:rsidRDefault="006E6338" w:rsidP="00944025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BB42D7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s-AR"/>
        </w:rPr>
        <w:t>Otros</w:t>
      </w:r>
      <w:r w:rsidRPr="00BB42D7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 Autocad</w:t>
      </w:r>
    </w:p>
    <w:p w14:paraId="0C25634B" w14:textId="77777777" w:rsidR="00944025" w:rsidRPr="00BB42D7" w:rsidRDefault="0094402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574357E9" w14:textId="77777777" w:rsidR="00D56D97" w:rsidRPr="00BB42D7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4D9058D0" w14:textId="1C1D217C" w:rsidR="00D56D97" w:rsidRPr="0042039F" w:rsidRDefault="009E1915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>PUBLICACIONES CIENTIFICAS</w:t>
      </w:r>
    </w:p>
    <w:p w14:paraId="35AC153B" w14:textId="77777777" w:rsidR="00D56D97" w:rsidRPr="00BB42D7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Sánchez, F., Polti, I., Idesis, S., Avellaneda, M., Tabullo, Á., &amp; Iorio, A. (2018). </w:t>
      </w:r>
      <w:hyperlink r:id="rId7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BB42D7">
        <w:rPr>
          <w:rFonts w:ascii="Arial" w:hAnsi="Arial" w:cs="Arial"/>
          <w:i/>
          <w:color w:val="262626" w:themeColor="text1" w:themeTint="D9"/>
          <w:sz w:val="20"/>
          <w:szCs w:val="20"/>
        </w:rPr>
        <w:t>Behavioural brain research</w:t>
      </w:r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 xml:space="preserve">, 347, 242-254. </w:t>
      </w:r>
    </w:p>
    <w:p w14:paraId="25B740F7" w14:textId="77777777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 xml:space="preserve">Idesis, S. A., D’Amelio, T. A., Batán, S. T., </w:t>
      </w:r>
      <w:r w:rsidRPr="00BB42D7">
        <w:rPr>
          <w:rFonts w:ascii="Arial" w:hAnsi="Arial" w:cs="Arial"/>
          <w:b/>
          <w:color w:val="262626" w:themeColor="text1" w:themeTint="D9"/>
          <w:sz w:val="20"/>
          <w:szCs w:val="20"/>
        </w:rPr>
        <w:t>Menendez, J.</w:t>
      </w:r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 xml:space="preserve">, &amp; Polti, I. (2018). </w:t>
      </w:r>
      <w:hyperlink r:id="rId8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Electrodermal and behavioral response to emotional Spanish words in native speakers.</w:t>
        </w:r>
      </w:hyperlink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Revista Argentina de Ciencias del Comportamiento (RACC)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10(1), 43-54. </w:t>
      </w:r>
    </w:p>
    <w:p w14:paraId="024416FB" w14:textId="77777777" w:rsidR="00D56D97" w:rsidRPr="006E6338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., Sanchez, F.J., Avellaneda, M., Idesis, S.A., Iorio, A.A. (2017)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 </w:t>
      </w:r>
      <w:hyperlink r:id="rId9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Effects of Mixed Training Structures on Equivalence Class Formation</w:t>
        </w:r>
      </w:hyperlink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International Journal of Psychology and Psychological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Therapy, 17(3), 291-303. </w:t>
      </w:r>
    </w:p>
    <w:p w14:paraId="09324718" w14:textId="436C46E8" w:rsidR="00D56D97" w:rsidRPr="006E6338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Avellaneda, M.,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Menéndez, J.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Santillán, M., Sánchez, F., Idesis, S., Papagna, V., &amp; Iorio, A. (2016). </w:t>
      </w:r>
      <w:hyperlink r:id="rId10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6E6338">
        <w:rPr>
          <w:rFonts w:ascii="Arial" w:hAnsi="Arial" w:cs="Arial"/>
          <w:color w:val="262626" w:themeColor="text1" w:themeTint="D9"/>
          <w:sz w:val="20"/>
          <w:szCs w:val="20"/>
        </w:rPr>
        <w:t>.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The Psychological Record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, 66(3), 477-487. </w:t>
      </w:r>
    </w:p>
    <w:p w14:paraId="68DE2821" w14:textId="77777777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63BCD3A" w14:textId="77777777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2F3CEF4E" w14:textId="1E092FD0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[</w:t>
      </w:r>
      <w:r w:rsidR="009E1915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Perfil de </w:t>
      </w:r>
      <w:hyperlink r:id="rId11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Google Scholar</w:t>
        </w:r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</w:p>
    <w:p w14:paraId="4FB556E1" w14:textId="6CE6776F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[</w:t>
      </w:r>
      <w:r w:rsidR="009E1915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Perfil de </w:t>
      </w:r>
      <w:hyperlink r:id="rId12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Liked</w:t>
        </w:r>
        <w:r w:rsidR="00F0537E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I</w:t>
        </w:r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n</w:t>
        </w:r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] </w:t>
      </w:r>
    </w:p>
    <w:p w14:paraId="7AD2E3E1" w14:textId="77777777" w:rsidR="00D67B7B" w:rsidRPr="0042039F" w:rsidRDefault="00D67B7B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sectPr w:rsidR="00D67B7B" w:rsidRPr="0042039F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8A34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0F10DB"/>
    <w:rsid w:val="00157807"/>
    <w:rsid w:val="00164016"/>
    <w:rsid w:val="00242114"/>
    <w:rsid w:val="00262B95"/>
    <w:rsid w:val="003B3282"/>
    <w:rsid w:val="0042039F"/>
    <w:rsid w:val="00472B78"/>
    <w:rsid w:val="00493674"/>
    <w:rsid w:val="00505E31"/>
    <w:rsid w:val="0059183E"/>
    <w:rsid w:val="005B6F86"/>
    <w:rsid w:val="00617F0E"/>
    <w:rsid w:val="006E6338"/>
    <w:rsid w:val="00760DD0"/>
    <w:rsid w:val="007E34E0"/>
    <w:rsid w:val="00832294"/>
    <w:rsid w:val="008B105A"/>
    <w:rsid w:val="00944025"/>
    <w:rsid w:val="009E1915"/>
    <w:rsid w:val="00A53A6D"/>
    <w:rsid w:val="00BB42D7"/>
    <w:rsid w:val="00D362E0"/>
    <w:rsid w:val="00D56D97"/>
    <w:rsid w:val="00D6430D"/>
    <w:rsid w:val="00D67B7B"/>
    <w:rsid w:val="00E44F64"/>
    <w:rsid w:val="00E513C9"/>
    <w:rsid w:val="00EC4813"/>
    <w:rsid w:val="00F0537E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E485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lid-translation">
    <w:name w:val="tlid-translation"/>
    <w:basedOn w:val="DefaultParagraphFont"/>
    <w:rsid w:val="0049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79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hyperlink" Target="https://www.linkedin.com/in/joaquin-menendez/?locale=en_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General%20stuff\CV\resume\multimedia\.%5d(https:\www.researchgate.net\publication\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3F3B-7817-4B1F-85BC-11583BA3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19</cp:revision>
  <cp:lastPrinted>2020-05-26T13:56:00Z</cp:lastPrinted>
  <dcterms:created xsi:type="dcterms:W3CDTF">2020-03-16T22:16:00Z</dcterms:created>
  <dcterms:modified xsi:type="dcterms:W3CDTF">2020-05-26T14:07:00Z</dcterms:modified>
</cp:coreProperties>
</file>