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666666"/>
          <w:sz w:val="20"/>
          <w:szCs w:val="20"/>
        </w:rPr>
        <w:t xml:space="preserve">Science Fair Project Submission</w:t>
      </w:r>
    </w:p>
    <w:p>
      <w:pPr>
        <w:spacing w:after="40"/>
        <w:jc w:val="center"/>
      </w:pPr>
      <w:r>
        <w:rPr>
          <w:color w:val="888888"/>
          <w:sz w:val="19"/>
          <w:szCs w:val="19"/>
        </w:rPr>
        <w:t xml:space="preserve">Cambridge AS &amp; A Level — Global Perspectives</w:t>
      </w:r>
    </w:p>
    <w:p>
      <w:pPr>
        <w:pBdr>
          <w:bottom w:val="single" w:color="BBBBBB" w:sz="6"/>
        </w:pBdr>
        <w:spacing w:after="200" w:before="60"/>
      </w:pPr>
      <w:r>
        <w:rPr>
          <w:sz w:val="2"/>
          <w:szCs w:val="2"/>
        </w:rPr>
        <w:t xml:space="preserve"/>
      </w:r>
    </w:p>
    <w:p>
      <w:pPr>
        <w:pStyle w:val="Heading1"/>
        <w:spacing w:after="160" w:before="320"/>
      </w:pPr>
      <w:r>
        <w:rPr>
          <w:b/>
          <w:bCs/>
          <w:color w:val="1A1A1A"/>
          <w:sz w:val="28"/>
          <w:szCs w:val="28"/>
        </w:rPr>
        <w:t xml:space="preserve">Title</w:t>
      </w:r>
    </w:p>
    <w:p>
      <w:pPr>
        <w:spacing w:after="160" w:line="276"/>
      </w:pPr>
      <w:r>
        <w:rPr>
          <w:b/>
          <w:bCs/>
          <w:sz w:val="24"/>
          <w:szCs w:val="24"/>
        </w:rPr>
        <w:t xml:space="preserve">Regime-Gated Reversal Trading: Does Filtering Trade Eligibility by Higher-Timeframe Market Regime Improve the Per-Trade Expectancy of an Autonomous Algorithmic Trading System?</w:t>
      </w:r>
    </w:p>
    <w:p>
      <w:pPr>
        <w:pStyle w:val="Heading1"/>
        <w:spacing w:after="160" w:before="320"/>
      </w:pPr>
      <w:r>
        <w:rPr>
          <w:b/>
          <w:bCs/>
          <w:color w:val="1A1A1A"/>
          <w:sz w:val="28"/>
          <w:szCs w:val="28"/>
        </w:rPr>
        <w:t xml:space="preserve">Research Question</w:t>
      </w:r>
    </w:p>
    <w:p>
      <w:pPr>
        <w:spacing w:after="120" w:line="276"/>
      </w:pPr>
      <w:r>
        <w:rPr>
          <w:sz w:val="22"/>
          <w:szCs w:val="22"/>
        </w:rPr>
        <w:t xml:space="preserve">Does a fully autonomous, rule-based reversal trading system that filters its own trade eligibility according to the prevailing higher-timeframe market regime produce a mean return per trade significantly greater than a control system that uses identical position sizing, stop placement, and exit rules but selects its trade direction at random?</w:t>
      </w:r>
    </w:p>
    <w:p>
      <w:pPr>
        <w:pStyle w:val="Heading1"/>
        <w:spacing w:after="160" w:before="320"/>
      </w:pPr>
      <w:r>
        <w:rPr>
          <w:b/>
          <w:bCs/>
          <w:color w:val="1A1A1A"/>
          <w:sz w:val="28"/>
          <w:szCs w:val="28"/>
        </w:rPr>
        <w:t xml:space="preserve">Hypothesis</w:t>
      </w:r>
    </w:p>
    <w:p>
      <w:pPr>
        <w:spacing w:after="120" w:line="276"/>
      </w:pPr>
      <w:r>
        <w:rPr>
          <w:sz w:val="22"/>
          <w:szCs w:val="22"/>
        </w:rPr>
        <w:t xml:space="preserve">If trade eligibility is filtered by higher-timeframe regime classification — applying strict “A+ only” filtering on trending days and permissive “full” filtering on ranging days — then the system will produce a mean return per trade significantly greater than zero and significantly greater than that of a direction-randomised control at a significance level of 0.05. The reasoning is that price movements which occur at a session open and run counter to the higher-timeframe trend represent liquidity sweeps, which reverse more often than they continue.</w:t>
      </w:r>
    </w:p>
    <w:p>
      <w:pPr>
        <w:pStyle w:val="Heading1"/>
        <w:spacing w:after="160" w:before="320"/>
      </w:pPr>
      <w:r>
        <w:rPr>
          <w:b/>
          <w:bCs/>
          <w:color w:val="1A1A1A"/>
          <w:sz w:val="28"/>
          <w:szCs w:val="28"/>
        </w:rPr>
        <w:t xml:space="preserve">Variables</w:t>
      </w:r>
    </w:p>
    <w:p>
      <w:pPr>
        <w:pStyle w:val="Heading2"/>
        <w:spacing w:after="120" w:before="240"/>
      </w:pPr>
      <w:r>
        <w:rPr>
          <w:b/>
          <w:bCs/>
          <w:color w:val="333333"/>
          <w:sz w:val="24"/>
          <w:szCs w:val="24"/>
        </w:rPr>
        <w:t xml:space="preserve">Independent Variable</w:t>
      </w:r>
    </w:p>
    <w:p>
      <w:pPr>
        <w:spacing w:after="120" w:line="276"/>
      </w:pPr>
      <w:r>
        <w:rPr>
          <w:sz w:val="22"/>
          <w:szCs w:val="22"/>
        </w:rPr>
        <w:t xml:space="preserve">The trade-eligibility filtering mode, manipulated across three levels, each run as a separate experimental arm over the same historical data:</w:t>
      </w:r>
    </w:p>
    <w:p>
      <w:pPr>
        <w:spacing w:after="80" w:line="276"/>
        <w:ind w:left="720" w:hanging="260"/>
      </w:pPr>
      <w:r>
        <w:rPr>
          <w:sz w:val="22"/>
          <w:szCs w:val="22"/>
        </w:rPr>
        <w:t xml:space="preserve">— </w:t>
      </w:r>
      <w:r>
        <w:rPr>
          <w:sz w:val="22"/>
          <w:szCs w:val="22"/>
        </w:rPr>
        <w:t xml:space="preserve">Arm 1 — Regime-gated: strict filtering on trending days, permissive filtering on ranging days.</w:t>
      </w:r>
    </w:p>
    <w:p>
      <w:pPr>
        <w:spacing w:after="80" w:line="276"/>
        <w:ind w:left="720" w:hanging="260"/>
      </w:pPr>
      <w:r>
        <w:rPr>
          <w:sz w:val="22"/>
          <w:szCs w:val="22"/>
        </w:rPr>
        <w:t xml:space="preserve">— </w:t>
      </w:r>
      <w:r>
        <w:rPr>
          <w:sz w:val="22"/>
          <w:szCs w:val="22"/>
        </w:rPr>
        <w:t xml:space="preserve">Arm 2 — Permissive: no regime filter; all levels are eligible on every day.</w:t>
      </w:r>
    </w:p>
    <w:p>
      <w:pPr>
        <w:spacing w:after="80" w:line="276"/>
        <w:ind w:left="720" w:hanging="260"/>
      </w:pPr>
      <w:r>
        <w:rPr>
          <w:sz w:val="22"/>
          <w:szCs w:val="22"/>
        </w:rPr>
        <w:t xml:space="preserve">— </w:t>
      </w:r>
      <w:r>
        <w:rPr>
          <w:sz w:val="22"/>
          <w:szCs w:val="22"/>
        </w:rPr>
        <w:t xml:space="preserve">Arm 3 — Random control: identical setups are detected, but entry direction is assigned by a seeded pseudorandom coin flip.</w:t>
      </w:r>
    </w:p>
    <w:p>
      <w:pPr>
        <w:pStyle w:val="Heading2"/>
        <w:spacing w:after="120" w:before="240"/>
      </w:pPr>
      <w:r>
        <w:rPr>
          <w:b/>
          <w:bCs/>
          <w:color w:val="333333"/>
          <w:sz w:val="24"/>
          <w:szCs w:val="24"/>
        </w:rPr>
        <w:t xml:space="preserve">Dependent Variables</w:t>
      </w:r>
    </w:p>
    <w:p>
      <w:pPr>
        <w:spacing w:after="120" w:line="276"/>
      </w:pPr>
      <w:r>
        <w:rPr>
          <w:sz w:val="22"/>
          <w:szCs w:val="22"/>
        </w:rPr>
        <w:t xml:space="preserve">The measured outcomes, recorded for every completed trade and aggregated per arm: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E8E8E8" w:color="auto" w:val="clear"/>
            <w:tcMar>
              <w:top w:type="dxa" w:w="80"/>
              <w:left w:type="dxa" w:w="120"/>
              <w:bottom w:type="dxa" w:w="80"/>
              <w:right w:type="dxa" w:w="120"/>
            </w:tcMar>
          </w:tcPr>
          <w:p>
            <w:r>
              <w:rPr>
                <w:b/>
                <w:bCs/>
                <w:sz w:val="21"/>
                <w:szCs w:val="21"/>
              </w:rPr>
              <w:t xml:space="preserve">Variable</w:t>
            </w:r>
          </w:p>
        </w:tc>
        <w:tc>
          <w:tcPr>
            <w:tcW w:type="dxa" w:w="6960"/>
            <w:shd w:fill="E8E8E8" w:color="auto" w:val="clear"/>
            <w:tcMar>
              <w:top w:type="dxa" w:w="80"/>
              <w:left w:type="dxa" w:w="120"/>
              <w:bottom w:type="dxa" w:w="80"/>
              <w:right w:type="dxa" w:w="120"/>
            </w:tcMar>
          </w:tcPr>
          <w:p>
            <w:r>
              <w:rPr>
                <w:b/>
                <w:bCs/>
                <w:sz w:val="21"/>
                <w:szCs w:val="21"/>
              </w:rPr>
              <w:t xml:space="preserve">Definition and unit of measurement</w:t>
            </w:r>
          </w:p>
        </w:tc>
      </w:tr>
      <w:tr>
        <w:tc>
          <w:tcPr>
            <w:tcW w:type="dxa" w:w="2400"/>
            <w:tcMar>
              <w:top w:type="dxa" w:w="80"/>
              <w:left w:type="dxa" w:w="120"/>
              <w:bottom w:type="dxa" w:w="80"/>
              <w:right w:type="dxa" w:w="120"/>
            </w:tcMar>
          </w:tcPr>
          <w:p>
            <w:r>
              <w:rPr>
                <w:b/>
                <w:bCs/>
                <w:sz w:val="21"/>
                <w:szCs w:val="21"/>
              </w:rPr>
              <w:t xml:space="preserve">Return per trade</w:t>
            </w:r>
          </w:p>
        </w:tc>
        <w:tc>
          <w:tcPr>
            <w:tcW w:type="dxa" w:w="6960"/>
            <w:tcMar>
              <w:top w:type="dxa" w:w="80"/>
              <w:left w:type="dxa" w:w="120"/>
              <w:bottom w:type="dxa" w:w="80"/>
              <w:right w:type="dxa" w:w="120"/>
            </w:tcMar>
          </w:tcPr>
          <w:p>
            <w:r>
              <w:rPr>
                <w:b w:val="false"/>
                <w:bCs w:val="false"/>
                <w:sz w:val="21"/>
                <w:szCs w:val="21"/>
              </w:rPr>
              <w:t xml:space="preserve">Profit or loss expressed in R-multiples, where 1R equals the amount risked on that trade</w:t>
            </w:r>
          </w:p>
        </w:tc>
      </w:tr>
      <w:tr>
        <w:tc>
          <w:tcPr>
            <w:tcW w:type="dxa" w:w="2400"/>
            <w:tcMar>
              <w:top w:type="dxa" w:w="80"/>
              <w:left w:type="dxa" w:w="120"/>
              <w:bottom w:type="dxa" w:w="80"/>
              <w:right w:type="dxa" w:w="120"/>
            </w:tcMar>
          </w:tcPr>
          <w:p>
            <w:r>
              <w:rPr>
                <w:b/>
                <w:bCs/>
                <w:sz w:val="21"/>
                <w:szCs w:val="21"/>
              </w:rPr>
              <w:t xml:space="preserve">Win rate</w:t>
            </w:r>
          </w:p>
        </w:tc>
        <w:tc>
          <w:tcPr>
            <w:tcW w:type="dxa" w:w="6960"/>
            <w:tcMar>
              <w:top w:type="dxa" w:w="80"/>
              <w:left w:type="dxa" w:w="120"/>
              <w:bottom w:type="dxa" w:w="80"/>
              <w:right w:type="dxa" w:w="120"/>
            </w:tcMar>
          </w:tcPr>
          <w:p>
            <w:r>
              <w:rPr>
                <w:b w:val="false"/>
                <w:bCs w:val="false"/>
                <w:sz w:val="21"/>
                <w:szCs w:val="21"/>
              </w:rPr>
              <w:t xml:space="preserve">Percentage of completed trades closed at the profit target</w:t>
            </w:r>
          </w:p>
        </w:tc>
      </w:tr>
      <w:tr>
        <w:tc>
          <w:tcPr>
            <w:tcW w:type="dxa" w:w="2400"/>
            <w:tcMar>
              <w:top w:type="dxa" w:w="80"/>
              <w:left w:type="dxa" w:w="120"/>
              <w:bottom w:type="dxa" w:w="80"/>
              <w:right w:type="dxa" w:w="120"/>
            </w:tcMar>
          </w:tcPr>
          <w:p>
            <w:r>
              <w:rPr>
                <w:b/>
                <w:bCs/>
                <w:sz w:val="21"/>
                <w:szCs w:val="21"/>
              </w:rPr>
              <w:t xml:space="preserve">Profit factor</w:t>
            </w:r>
          </w:p>
        </w:tc>
        <w:tc>
          <w:tcPr>
            <w:tcW w:type="dxa" w:w="6960"/>
            <w:tcMar>
              <w:top w:type="dxa" w:w="80"/>
              <w:left w:type="dxa" w:w="120"/>
              <w:bottom w:type="dxa" w:w="80"/>
              <w:right w:type="dxa" w:w="120"/>
            </w:tcMar>
          </w:tcPr>
          <w:p>
            <w:r>
              <w:rPr>
                <w:b w:val="false"/>
                <w:bCs w:val="false"/>
                <w:sz w:val="21"/>
                <w:szCs w:val="21"/>
              </w:rPr>
              <w:t xml:space="preserve">Gross profit divided by gross loss (dimensionless ratio)</w:t>
            </w:r>
          </w:p>
        </w:tc>
      </w:tr>
      <w:tr>
        <w:tc>
          <w:tcPr>
            <w:tcW w:type="dxa" w:w="2400"/>
            <w:tcMar>
              <w:top w:type="dxa" w:w="80"/>
              <w:left w:type="dxa" w:w="120"/>
              <w:bottom w:type="dxa" w:w="80"/>
              <w:right w:type="dxa" w:w="120"/>
            </w:tcMar>
          </w:tcPr>
          <w:p>
            <w:r>
              <w:rPr>
                <w:b/>
                <w:bCs/>
                <w:sz w:val="21"/>
                <w:szCs w:val="21"/>
              </w:rPr>
              <w:t xml:space="preserve">Maximum drawdown</w:t>
            </w:r>
          </w:p>
        </w:tc>
        <w:tc>
          <w:tcPr>
            <w:tcW w:type="dxa" w:w="6960"/>
            <w:tcMar>
              <w:top w:type="dxa" w:w="80"/>
              <w:left w:type="dxa" w:w="120"/>
              <w:bottom w:type="dxa" w:w="80"/>
              <w:right w:type="dxa" w:w="120"/>
            </w:tcMar>
          </w:tcPr>
          <w:p>
            <w:r>
              <w:rPr>
                <w:b w:val="false"/>
                <w:bCs w:val="false"/>
                <w:sz w:val="21"/>
                <w:szCs w:val="21"/>
              </w:rPr>
              <w:t xml:space="preserve">Largest peak-to-trough fall in account equity, as a percentage</w:t>
            </w:r>
          </w:p>
        </w:tc>
      </w:tr>
      <w:tr>
        <w:tc>
          <w:tcPr>
            <w:tcW w:type="dxa" w:w="2400"/>
            <w:tcMar>
              <w:top w:type="dxa" w:w="80"/>
              <w:left w:type="dxa" w:w="120"/>
              <w:bottom w:type="dxa" w:w="80"/>
              <w:right w:type="dxa" w:w="120"/>
            </w:tcMar>
          </w:tcPr>
          <w:p>
            <w:r>
              <w:rPr>
                <w:b/>
                <w:bCs/>
                <w:sz w:val="21"/>
                <w:szCs w:val="21"/>
              </w:rPr>
              <w:t xml:space="preserve">Expectancy</w:t>
            </w:r>
          </w:p>
        </w:tc>
        <w:tc>
          <w:tcPr>
            <w:tcW w:type="dxa" w:w="6960"/>
            <w:tcMar>
              <w:top w:type="dxa" w:w="80"/>
              <w:left w:type="dxa" w:w="120"/>
              <w:bottom w:type="dxa" w:w="80"/>
              <w:right w:type="dxa" w:w="120"/>
            </w:tcMar>
          </w:tcPr>
          <w:p>
            <w:r>
              <w:rPr>
                <w:b w:val="false"/>
                <w:bCs w:val="false"/>
                <w:sz w:val="21"/>
                <w:szCs w:val="21"/>
              </w:rPr>
              <w:t xml:space="preserve">Mean return per trade in R-multiples</w:t>
            </w:r>
          </w:p>
        </w:tc>
      </w:tr>
      <w:tr>
        <w:tc>
          <w:tcPr>
            <w:tcW w:type="dxa" w:w="2400"/>
            <w:tcMar>
              <w:top w:type="dxa" w:w="80"/>
              <w:left w:type="dxa" w:w="120"/>
              <w:bottom w:type="dxa" w:w="80"/>
              <w:right w:type="dxa" w:w="120"/>
            </w:tcMar>
          </w:tcPr>
          <w:p>
            <w:r>
              <w:rPr>
                <w:b/>
                <w:bCs/>
                <w:sz w:val="21"/>
                <w:szCs w:val="21"/>
              </w:rPr>
              <w:t xml:space="preserve">Skip counts</w:t>
            </w:r>
          </w:p>
        </w:tc>
        <w:tc>
          <w:tcPr>
            <w:tcW w:type="dxa" w:w="6960"/>
            <w:tcMar>
              <w:top w:type="dxa" w:w="80"/>
              <w:left w:type="dxa" w:w="120"/>
              <w:bottom w:type="dxa" w:w="80"/>
              <w:right w:type="dxa" w:w="120"/>
            </w:tcMar>
          </w:tcPr>
          <w:p>
            <w:r>
              <w:rPr>
                <w:b w:val="false"/>
                <w:bCs w:val="false"/>
                <w:sz w:val="21"/>
                <w:szCs w:val="21"/>
              </w:rPr>
              <w:t xml:space="preserve">Frequency of each reason code for trades the system declined to take</w:t>
            </w:r>
          </w:p>
        </w:tc>
      </w:tr>
    </w:tbl>
    <w:p>
      <w:pPr>
        <w:pStyle w:val="Heading2"/>
        <w:spacing w:after="120" w:before="240"/>
      </w:pPr>
      <w:r>
        <w:rPr>
          <w:b/>
          <w:bCs/>
          <w:color w:val="333333"/>
          <w:sz w:val="24"/>
          <w:szCs w:val="24"/>
        </w:rPr>
        <w:t xml:space="preserve">Controlled Variables</w:t>
      </w:r>
    </w:p>
    <w:p>
      <w:pPr>
        <w:spacing w:after="120" w:line="276"/>
      </w:pPr>
      <w:r>
        <w:rPr>
          <w:sz w:val="22"/>
          <w:szCs w:val="22"/>
        </w:rPr>
        <w:t xml:space="preserve">Held identical across all three arms so that any difference in outcome can be attributed to the independent variable alone:</w:t>
      </w:r>
    </w:p>
    <w:p>
      <w:pPr>
        <w:spacing w:after="80" w:line="276"/>
        <w:ind w:left="720" w:hanging="260"/>
      </w:pPr>
      <w:r>
        <w:rPr>
          <w:sz w:val="22"/>
          <w:szCs w:val="22"/>
        </w:rPr>
        <w:t xml:space="preserve">— </w:t>
      </w:r>
      <w:r>
        <w:rPr>
          <w:sz w:val="22"/>
          <w:szCs w:val="22"/>
        </w:rPr>
        <w:t xml:space="preserve">Instrument: MNQ (Micro E-mini Nasdaq-100 futures)</w:t>
      </w:r>
    </w:p>
    <w:p>
      <w:pPr>
        <w:spacing w:after="80" w:line="276"/>
        <w:ind w:left="720" w:hanging="260"/>
      </w:pPr>
      <w:r>
        <w:rPr>
          <w:sz w:val="22"/>
          <w:szCs w:val="22"/>
        </w:rPr>
        <w:t xml:space="preserve">— </w:t>
      </w:r>
      <w:r>
        <w:rPr>
          <w:sz w:val="22"/>
          <w:szCs w:val="22"/>
        </w:rPr>
        <w:t xml:space="preserve">Historical period: the same 24 months of data for every arm</w:t>
      </w:r>
    </w:p>
    <w:p>
      <w:pPr>
        <w:spacing w:after="80" w:line="276"/>
        <w:ind w:left="720" w:hanging="260"/>
      </w:pPr>
      <w:r>
        <w:rPr>
          <w:sz w:val="22"/>
          <w:szCs w:val="22"/>
        </w:rPr>
        <w:t xml:space="preserve">— </w:t>
      </w:r>
      <w:r>
        <w:rPr>
          <w:sz w:val="22"/>
          <w:szCs w:val="22"/>
        </w:rPr>
        <w:t xml:space="preserve">Risk per trade: 1.0% of account equity</w:t>
      </w:r>
    </w:p>
    <w:p>
      <w:pPr>
        <w:spacing w:after="80" w:line="276"/>
        <w:ind w:left="720" w:hanging="260"/>
      </w:pPr>
      <w:r>
        <w:rPr>
          <w:sz w:val="22"/>
          <w:szCs w:val="22"/>
        </w:rPr>
        <w:t xml:space="preserve">— </w:t>
      </w:r>
      <w:r>
        <w:rPr>
          <w:sz w:val="22"/>
          <w:szCs w:val="22"/>
        </w:rPr>
        <w:t xml:space="preserve">Maximum concurrent positions: 1</w:t>
      </w:r>
    </w:p>
    <w:p>
      <w:pPr>
        <w:spacing w:after="80" w:line="276"/>
        <w:ind w:left="720" w:hanging="260"/>
      </w:pPr>
      <w:r>
        <w:rPr>
          <w:sz w:val="22"/>
          <w:szCs w:val="22"/>
        </w:rPr>
        <w:t xml:space="preserve">— </w:t>
      </w:r>
      <w:r>
        <w:rPr>
          <w:sz w:val="22"/>
          <w:szCs w:val="22"/>
        </w:rPr>
        <w:t xml:space="preserve">Daily loss circuit breaker: 3.0% of start-of-day equity</w:t>
      </w:r>
    </w:p>
    <w:p>
      <w:pPr>
        <w:spacing w:after="80" w:line="276"/>
        <w:ind w:left="720" w:hanging="260"/>
      </w:pPr>
      <w:r>
        <w:rPr>
          <w:sz w:val="22"/>
          <w:szCs w:val="22"/>
        </w:rPr>
        <w:t xml:space="preserve">— </w:t>
      </w:r>
      <w:r>
        <w:rPr>
          <w:sz w:val="22"/>
          <w:szCs w:val="22"/>
        </w:rPr>
        <w:t xml:space="preserve">Stop placement: the next inverse-Fibonacci tier beyond the entry level</w:t>
      </w:r>
    </w:p>
    <w:p>
      <w:pPr>
        <w:spacing w:after="80" w:line="276"/>
        <w:ind w:left="720" w:hanging="260"/>
      </w:pPr>
      <w:r>
        <w:rPr>
          <w:sz w:val="22"/>
          <w:szCs w:val="22"/>
        </w:rPr>
        <w:t xml:space="preserve">— </w:t>
      </w:r>
      <w:r>
        <w:rPr>
          <w:sz w:val="22"/>
          <w:szCs w:val="22"/>
        </w:rPr>
        <w:t xml:space="preserve">Target rule: session VWAP, or the nearest opposing point of interest if VWAP has already been passed</w:t>
      </w:r>
    </w:p>
    <w:p>
      <w:pPr>
        <w:spacing w:after="80" w:line="276"/>
        <w:ind w:left="720" w:hanging="260"/>
      </w:pPr>
      <w:r>
        <w:rPr>
          <w:sz w:val="22"/>
          <w:szCs w:val="22"/>
        </w:rPr>
        <w:t xml:space="preserve">— </w:t>
      </w:r>
      <w:r>
        <w:rPr>
          <w:sz w:val="22"/>
          <w:szCs w:val="22"/>
        </w:rPr>
        <w:t xml:space="preserve">Stagnant-trade cutoff: 30 minutes after session close</w:t>
      </w:r>
    </w:p>
    <w:p>
      <w:pPr>
        <w:spacing w:after="80" w:line="276"/>
        <w:ind w:left="720" w:hanging="260"/>
      </w:pPr>
      <w:r>
        <w:rPr>
          <w:sz w:val="22"/>
          <w:szCs w:val="22"/>
        </w:rPr>
        <w:t xml:space="preserve">— </w:t>
      </w:r>
      <w:r>
        <w:rPr>
          <w:sz w:val="22"/>
          <w:szCs w:val="22"/>
        </w:rPr>
        <w:t xml:space="preserve">Session-open windows: Asia 18:00–19:00 ET; New York 09:30–10:30 ET</w:t>
      </w:r>
    </w:p>
    <w:p>
      <w:pPr>
        <w:spacing w:after="80" w:line="276"/>
        <w:ind w:left="720" w:hanging="260"/>
      </w:pPr>
      <w:r>
        <w:rPr>
          <w:sz w:val="22"/>
          <w:szCs w:val="22"/>
        </w:rPr>
        <w:t xml:space="preserve">— </w:t>
      </w:r>
      <w:r>
        <w:rPr>
          <w:sz w:val="22"/>
          <w:szCs w:val="22"/>
        </w:rPr>
        <w:t xml:space="preserve">Starting equity, slippage model (1 tick per fill), and commission ($0.74 per round turn)</w:t>
      </w:r>
    </w:p>
    <w:p>
      <w:pPr>
        <w:pStyle w:val="Heading1"/>
        <w:spacing w:after="160" w:before="320"/>
      </w:pPr>
      <w:r>
        <w:rPr>
          <w:b/>
          <w:bCs/>
          <w:color w:val="1A1A1A"/>
          <w:sz w:val="28"/>
          <w:szCs w:val="28"/>
        </w:rPr>
        <w:t xml:space="preserve">Materials</w:t>
      </w:r>
    </w:p>
    <w:p>
      <w:pPr>
        <w:spacing w:after="80" w:line="276"/>
        <w:ind w:left="720" w:hanging="260"/>
      </w:pPr>
      <w:r>
        <w:rPr>
          <w:sz w:val="22"/>
          <w:szCs w:val="22"/>
        </w:rPr>
        <w:t xml:space="preserve">— </w:t>
      </w:r>
      <w:r>
        <w:rPr>
          <w:sz w:val="22"/>
          <w:szCs w:val="22"/>
        </w:rPr>
        <w:t xml:space="preserve">A computer capable of running Python 3.11 or later</w:t>
      </w:r>
    </w:p>
    <w:p>
      <w:pPr>
        <w:spacing w:after="80" w:line="276"/>
        <w:ind w:left="720" w:hanging="260"/>
      </w:pPr>
      <w:r>
        <w:rPr>
          <w:sz w:val="22"/>
          <w:szCs w:val="22"/>
        </w:rPr>
        <w:t xml:space="preserve">— </w:t>
      </w:r>
      <w:r>
        <w:rPr>
          <w:sz w:val="22"/>
          <w:szCs w:val="22"/>
        </w:rPr>
        <w:t xml:space="preserve">Python 3.11 or later</w:t>
      </w:r>
    </w:p>
    <w:p>
      <w:pPr>
        <w:spacing w:after="80" w:line="276"/>
        <w:ind w:left="720" w:hanging="260"/>
      </w:pPr>
      <w:r>
        <w:rPr>
          <w:sz w:val="22"/>
          <w:szCs w:val="22"/>
        </w:rPr>
        <w:t xml:space="preserve">— </w:t>
      </w:r>
      <w:r>
        <w:rPr>
          <w:sz w:val="22"/>
          <w:szCs w:val="22"/>
        </w:rPr>
        <w:t xml:space="preserve">The STDVBOT software package (written by the researcher for this study)</w:t>
      </w:r>
    </w:p>
    <w:p>
      <w:pPr>
        <w:spacing w:after="80" w:line="276"/>
        <w:ind w:left="720" w:hanging="260"/>
      </w:pPr>
      <w:r>
        <w:rPr>
          <w:sz w:val="22"/>
          <w:szCs w:val="22"/>
        </w:rPr>
        <w:t xml:space="preserve">— </w:t>
      </w:r>
      <w:r>
        <w:rPr>
          <w:sz w:val="22"/>
          <w:szCs w:val="22"/>
        </w:rPr>
        <w:t xml:space="preserve">24 months of 1-minute OHLCV historical price data for MNQ, in CSV format, purchased from a historical market-data vendor</w:t>
      </w:r>
    </w:p>
    <w:p>
      <w:pPr>
        <w:spacing w:after="80" w:line="276"/>
        <w:ind w:left="720" w:hanging="260"/>
      </w:pPr>
      <w:r>
        <w:rPr>
          <w:sz w:val="22"/>
          <w:szCs w:val="22"/>
        </w:rPr>
        <w:t xml:space="preserve">— </w:t>
      </w:r>
      <w:r>
        <w:rPr>
          <w:sz w:val="22"/>
          <w:szCs w:val="22"/>
        </w:rPr>
        <w:t xml:space="preserve">Approximately 2 GB of free disk space for the data file and result files</w:t>
      </w:r>
    </w:p>
    <w:p>
      <w:pPr>
        <w:spacing w:after="80" w:line="276"/>
        <w:ind w:left="720" w:hanging="260"/>
      </w:pPr>
      <w:r>
        <w:rPr>
          <w:sz w:val="22"/>
          <w:szCs w:val="22"/>
        </w:rPr>
        <w:t xml:space="preserve">— </w:t>
      </w:r>
      <w:r>
        <w:rPr>
          <w:sz w:val="22"/>
          <w:szCs w:val="22"/>
        </w:rPr>
        <w:t xml:space="preserve">A lab notebook for recording parameter values, data provenance, and observations</w:t>
      </w:r>
    </w:p>
    <w:p>
      <w:pPr>
        <w:spacing w:after="80" w:line="276"/>
        <w:ind w:left="720" w:hanging="260"/>
      </w:pPr>
      <w:r>
        <w:rPr>
          <w:sz w:val="22"/>
          <w:szCs w:val="22"/>
        </w:rPr>
        <w:t xml:space="preserve">— </w:t>
      </w:r>
      <w:r>
        <w:rPr>
          <w:sz w:val="22"/>
          <w:szCs w:val="22"/>
        </w:rPr>
        <w:t xml:space="preserve">No brokerage account, no trading API credentials, and no live market-data subscription are required at any stage</w:t>
      </w:r>
    </w:p>
    <w:p>
      <w:pPr>
        <w:pStyle w:val="Heading1"/>
        <w:spacing w:after="160" w:before="320"/>
      </w:pPr>
      <w:r>
        <w:rPr>
          <w:b/>
          <w:bCs/>
          <w:color w:val="1A1A1A"/>
          <w:sz w:val="28"/>
          <w:szCs w:val="28"/>
        </w:rPr>
        <w:t xml:space="preserve">Safety and Ethics</w:t>
      </w:r>
    </w:p>
    <w:p>
      <w:pPr>
        <w:spacing w:after="120" w:line="276"/>
      </w:pPr>
      <w:r>
        <w:rPr>
          <w:sz w:val="22"/>
          <w:szCs w:val="22"/>
        </w:rPr>
        <w:t xml:space="preserve">This study is conducted entirely on archived historical price files. No brokerage account is connected, no orders are transmitted to any exchange, and no capital — real or simulated — is placed at risk at any point. There is therefore no financial risk to the researcher or to any other party, and no possibility of affecting a live market.</w:t>
      </w:r>
    </w:p>
    <w:p>
      <w:pPr>
        <w:spacing w:after="120" w:line="276"/>
      </w:pPr>
      <w:r>
        <w:rPr>
          <w:sz w:val="22"/>
          <w:szCs w:val="22"/>
        </w:rPr>
        <w:t xml:space="preserve">The researcher holds a proprietary-firm simulated trading account. That account is deliberately excluded from this study. Proprietary trading firms prohibit fully autonomous systems that manage both entry and exit without human involvement, and connecting this system to such an account would breach those terms. The historical simulation design avoids this issue entirely.</w:t>
      </w:r>
    </w:p>
    <w:p>
      <w:pPr>
        <w:pStyle w:val="Heading1"/>
        <w:spacing w:after="160" w:before="320"/>
      </w:pPr>
      <w:r>
        <w:rPr>
          <w:b/>
          <w:bCs/>
          <w:color w:val="1A1A1A"/>
          <w:sz w:val="28"/>
          <w:szCs w:val="28"/>
        </w:rPr>
        <w:t xml:space="preserve">Procedures</w:t>
      </w:r>
    </w:p>
    <w:p>
      <w:pPr>
        <w:pStyle w:val="Heading2"/>
        <w:spacing w:after="120" w:before="240"/>
      </w:pPr>
      <w:r>
        <w:rPr>
          <w:b/>
          <w:bCs/>
          <w:color w:val="333333"/>
          <w:sz w:val="24"/>
          <w:szCs w:val="24"/>
        </w:rPr>
        <w:t xml:space="preserve">Part A — Setup (carried out once, by the researcher)</w:t>
      </w:r>
    </w:p>
    <w:p>
      <w:pPr>
        <w:spacing w:after="100" w:line="276"/>
        <w:ind w:left="720" w:hanging="420"/>
      </w:pPr>
      <w:r>
        <w:rPr>
          <w:b/>
          <w:bCs/>
          <w:sz w:val="22"/>
          <w:szCs w:val="22"/>
        </w:rPr>
        <w:t xml:space="preserve">1.</w:t>
      </w:r>
      <w:r>
        <w:rPr>
          <w:sz w:val="22"/>
          <w:szCs w:val="22"/>
        </w:rPr>
        <w:t xml:space="preserve">  Install Python 3.11 or later on the computer that will run the simulation, and confirm the version by running python3 --version.</w:t>
      </w:r>
    </w:p>
    <w:p>
      <w:pPr>
        <w:spacing w:after="100" w:line="276"/>
        <w:ind w:left="720" w:hanging="420"/>
      </w:pPr>
      <w:r>
        <w:rPr>
          <w:b/>
          <w:bCs/>
          <w:sz w:val="22"/>
          <w:szCs w:val="22"/>
        </w:rPr>
        <w:t xml:space="preserve">2.</w:t>
      </w:r>
      <w:r>
        <w:rPr>
          <w:sz w:val="22"/>
          <w:szCs w:val="22"/>
        </w:rPr>
        <w:t xml:space="preserve">  Download the STDVBOT software package and install it by running pip install -e . from the package's root folder.</w:t>
      </w:r>
    </w:p>
    <w:p>
      <w:pPr>
        <w:spacing w:after="100" w:line="276"/>
        <w:ind w:left="720" w:hanging="420"/>
      </w:pPr>
      <w:r>
        <w:rPr>
          <w:b/>
          <w:bCs/>
          <w:sz w:val="22"/>
          <w:szCs w:val="22"/>
        </w:rPr>
        <w:t xml:space="preserve">3.</w:t>
      </w:r>
      <w:r>
        <w:rPr>
          <w:sz w:val="22"/>
          <w:szCs w:val="22"/>
        </w:rPr>
        <w:t xml:space="preserve">  Purchase and download 24 months of 1-minute open-high-low-close-volume (OHLCV) price data for the MNQ futures contract from a historical market-data vendor. Save the file as data/mnq_1m.csv.</w:t>
      </w:r>
    </w:p>
    <w:p>
      <w:pPr>
        <w:spacing w:after="100" w:line="276"/>
        <w:ind w:left="720" w:hanging="420"/>
      </w:pPr>
      <w:r>
        <w:rPr>
          <w:b/>
          <w:bCs/>
          <w:sz w:val="22"/>
          <w:szCs w:val="22"/>
        </w:rPr>
        <w:t xml:space="preserve">4.</w:t>
      </w:r>
      <w:r>
        <w:rPr>
          <w:sz w:val="22"/>
          <w:szCs w:val="22"/>
        </w:rPr>
        <w:t xml:space="preserve">  Confirm the CSV file has six columns in the order timestamp, open, high, low, close, volume, and that all timestamps are recorded in US Eastern Time. Record the vendor name, product name, and download date in the lab notebook; this establishes the data provenance of the study.</w:t>
      </w:r>
    </w:p>
    <w:p>
      <w:pPr>
        <w:spacing w:after="100" w:line="276"/>
        <w:ind w:left="720" w:hanging="420"/>
      </w:pPr>
      <w:r>
        <w:rPr>
          <w:b/>
          <w:bCs/>
          <w:sz w:val="22"/>
          <w:szCs w:val="22"/>
        </w:rPr>
        <w:t xml:space="preserve">5.</w:t>
      </w:r>
      <w:r>
        <w:rPr>
          <w:sz w:val="22"/>
          <w:szCs w:val="22"/>
        </w:rPr>
        <w:t xml:space="preserve">  Run the command stdvbot verify-data data/mnq_1m.csv and confirm it reports the expected date range, the total number of bars, and zero malformed rows. Do not continue if any trading session is missing more than 10% of its expected bars.</w:t>
      </w:r>
    </w:p>
    <w:p>
      <w:pPr>
        <w:spacing w:after="100" w:line="276"/>
        <w:ind w:left="720" w:hanging="420"/>
      </w:pPr>
      <w:r>
        <w:rPr>
          <w:b/>
          <w:bCs/>
          <w:sz w:val="22"/>
          <w:szCs w:val="22"/>
        </w:rPr>
        <w:t xml:space="preserve">6.</w:t>
      </w:r>
      <w:r>
        <w:rPr>
          <w:sz w:val="22"/>
          <w:szCs w:val="22"/>
        </w:rPr>
        <w:t xml:space="preserve">  Set the strategy parameters in the configuration file: risk per trade = 1.0% of equity; maximum concurrent positions = 1; daily loss limit = 3.0% of start-of-day equity; confluence threshold = 2; stagnant-trade cutoff = 30 minutes; and the three price-tolerance values for VWAP, round numbers, and points of interest.</w:t>
      </w:r>
    </w:p>
    <w:p>
      <w:pPr>
        <w:spacing w:after="100" w:line="276"/>
        <w:ind w:left="720" w:hanging="420"/>
      </w:pPr>
      <w:r>
        <w:rPr>
          <w:b/>
          <w:bCs/>
          <w:sz w:val="22"/>
          <w:szCs w:val="22"/>
        </w:rPr>
        <w:t xml:space="preserve">7.</w:t>
      </w:r>
      <w:r>
        <w:rPr>
          <w:sz w:val="22"/>
          <w:szCs w:val="22"/>
        </w:rPr>
        <w:t xml:space="preserve">  Record every parameter value from step 6 in the lab notebook. These are the controlled variables and must not be altered while any experimental arm is running.</w:t>
      </w:r>
    </w:p>
    <w:p>
      <w:pPr>
        <w:spacing w:after="100" w:line="276"/>
        <w:ind w:left="720" w:hanging="420"/>
      </w:pPr>
      <w:r>
        <w:rPr>
          <w:b/>
          <w:bCs/>
          <w:sz w:val="22"/>
          <w:szCs w:val="22"/>
        </w:rPr>
        <w:t xml:space="preserve">8.</w:t>
      </w:r>
      <w:r>
        <w:rPr>
          <w:sz w:val="22"/>
          <w:szCs w:val="22"/>
        </w:rPr>
        <w:t xml:space="preserve">  Select the experimental arm for this run by setting the arm parameter to regime_gated, permissive, or random_control. Run one arm at a time and complete it fully before switching.</w:t>
      </w:r>
    </w:p>
    <w:p>
      <w:pPr>
        <w:pStyle w:val="Heading2"/>
        <w:spacing w:after="120" w:before="240"/>
      </w:pPr>
      <w:r>
        <w:rPr>
          <w:b/>
          <w:bCs/>
          <w:color w:val="333333"/>
          <w:sz w:val="24"/>
          <w:szCs w:val="24"/>
        </w:rPr>
        <w:t xml:space="preserve">Part B — Simulated decision cycle (carried out by the program for each trading session in the dataset, in chronological order)</w:t>
      </w:r>
    </w:p>
    <w:p>
      <w:pPr>
        <w:spacing w:after="100" w:line="276"/>
        <w:ind w:left="720" w:hanging="420"/>
      </w:pPr>
      <w:r>
        <w:rPr>
          <w:b/>
          <w:bCs/>
          <w:sz w:val="22"/>
          <w:szCs w:val="22"/>
        </w:rPr>
        <w:t xml:space="preserve">9.</w:t>
      </w:r>
      <w:r>
        <w:rPr>
          <w:sz w:val="22"/>
          <w:szCs w:val="22"/>
        </w:rPr>
        <w:t xml:space="preserve">  For the trading session being simulated, load all closed 4-hour and Daily price bars that occurred before it. The program never reads a bar from the future, which prevents look-ahead bias.</w:t>
      </w:r>
    </w:p>
    <w:p>
      <w:pPr>
        <w:spacing w:after="100" w:line="276"/>
        <w:ind w:left="720" w:hanging="420"/>
      </w:pPr>
      <w:r>
        <w:rPr>
          <w:b/>
          <w:bCs/>
          <w:sz w:val="22"/>
          <w:szCs w:val="22"/>
        </w:rPr>
        <w:t xml:space="preserve">10.</w:t>
      </w:r>
      <w:r>
        <w:rPr>
          <w:sz w:val="22"/>
          <w:szCs w:val="22"/>
        </w:rPr>
        <w:t xml:space="preserve">  Compute the higher-timeframe bias from those bars and record it as either bullish or bearish.</w:t>
      </w:r>
    </w:p>
    <w:p>
      <w:pPr>
        <w:spacing w:after="100" w:line="276"/>
        <w:ind w:left="720" w:hanging="420"/>
      </w:pPr>
      <w:r>
        <w:rPr>
          <w:b/>
          <w:bCs/>
          <w:sz w:val="22"/>
          <w:szCs w:val="22"/>
        </w:rPr>
        <w:t xml:space="preserve">11.</w:t>
      </w:r>
      <w:r>
        <w:rPr>
          <w:sz w:val="22"/>
          <w:szCs w:val="22"/>
        </w:rPr>
        <w:t xml:space="preserve">  Classify the day's market regime from the 4-hour bars and record it as either trending or ranging.</w:t>
      </w:r>
    </w:p>
    <w:p>
      <w:pPr>
        <w:spacing w:after="100" w:line="276"/>
        <w:ind w:left="720" w:hanging="420"/>
      </w:pPr>
      <w:r>
        <w:rPr>
          <w:b/>
          <w:bCs/>
          <w:sz w:val="22"/>
          <w:szCs w:val="22"/>
        </w:rPr>
        <w:t xml:space="preserve">12.</w:t>
      </w:r>
      <w:r>
        <w:rPr>
          <w:sz w:val="22"/>
          <w:szCs w:val="22"/>
        </w:rPr>
        <w:t xml:space="preserve">  If the arm is regime_gated and the regime is trending, set the day's mode to A+ only. Under this mode only levels graded 4.5 are eligible to trade, and every level graded 2.0-2.5 is skipped automatically without exception.</w:t>
      </w:r>
    </w:p>
    <w:p>
      <w:pPr>
        <w:spacing w:after="100" w:line="276"/>
        <w:ind w:left="720" w:hanging="420"/>
      </w:pPr>
      <w:r>
        <w:rPr>
          <w:b/>
          <w:bCs/>
          <w:sz w:val="22"/>
          <w:szCs w:val="22"/>
        </w:rPr>
        <w:t xml:space="preserve">13.</w:t>
      </w:r>
      <w:r>
        <w:rPr>
          <w:sz w:val="22"/>
          <w:szCs w:val="22"/>
        </w:rPr>
        <w:t xml:space="preserve">  If the arm is regime_gated and the regime is ranging, set the day's mode to full. Under this mode levels graded 4.5 and levels graded 2.0-2.5 are both eligible.</w:t>
      </w:r>
    </w:p>
    <w:p>
      <w:pPr>
        <w:spacing w:after="100" w:line="276"/>
        <w:ind w:left="720" w:hanging="420"/>
      </w:pPr>
      <w:r>
        <w:rPr>
          <w:b/>
          <w:bCs/>
          <w:sz w:val="22"/>
          <w:szCs w:val="22"/>
        </w:rPr>
        <w:t xml:space="preserve">14.</w:t>
      </w:r>
      <w:r>
        <w:rPr>
          <w:sz w:val="22"/>
          <w:szCs w:val="22"/>
        </w:rPr>
        <w:t xml:space="preserve">  If the arm is permissive or random_control, set the day's mode to full regardless of the regime. This step is the manipulation of the independent variable.</w:t>
      </w:r>
    </w:p>
    <w:p>
      <w:pPr>
        <w:spacing w:after="100" w:line="276"/>
        <w:ind w:left="720" w:hanging="420"/>
      </w:pPr>
      <w:r>
        <w:rPr>
          <w:b/>
          <w:bCs/>
          <w:sz w:val="22"/>
          <w:szCs w:val="22"/>
        </w:rPr>
        <w:t xml:space="preserve">15.</w:t>
      </w:r>
      <w:r>
        <w:rPr>
          <w:sz w:val="22"/>
          <w:szCs w:val="22"/>
        </w:rPr>
        <w:t xml:space="preserve">  Compute and store the day's points of interest as fixed prices: the prior day's high, the prior day's low, the prior Asia-session high and low, and the prior New York-session high and low.</w:t>
      </w:r>
    </w:p>
    <w:p>
      <w:pPr>
        <w:spacing w:after="100" w:line="276"/>
        <w:ind w:left="720" w:hanging="420"/>
      </w:pPr>
      <w:r>
        <w:rPr>
          <w:b/>
          <w:bCs/>
          <w:sz w:val="22"/>
          <w:szCs w:val="22"/>
        </w:rPr>
        <w:t xml:space="preserve">16.</w:t>
      </w:r>
      <w:r>
        <w:rPr>
          <w:sz w:val="22"/>
          <w:szCs w:val="22"/>
        </w:rPr>
        <w:t xml:space="preserve">  For each session-open window in order (Asia first, then New York), collect every 1-minute bar that formed inside that window. This group of bars is called the leg.</w:t>
      </w:r>
    </w:p>
    <w:p>
      <w:pPr>
        <w:spacing w:after="100" w:line="276"/>
        <w:ind w:left="720" w:hanging="420"/>
      </w:pPr>
      <w:r>
        <w:rPr>
          <w:b/>
          <w:bCs/>
          <w:sz w:val="22"/>
          <w:szCs w:val="22"/>
        </w:rPr>
        <w:t xml:space="preserve">17.</w:t>
      </w:r>
      <w:r>
        <w:rPr>
          <w:sz w:val="22"/>
          <w:szCs w:val="22"/>
        </w:rPr>
        <w:t xml:space="preserve">  If the leg consists of exactly one bar, discard it and record the reason code single_candle_leg.</w:t>
      </w:r>
    </w:p>
    <w:p>
      <w:pPr>
        <w:spacing w:after="100" w:line="276"/>
        <w:ind w:left="720" w:hanging="420"/>
      </w:pPr>
      <w:r>
        <w:rPr>
          <w:b/>
          <w:bCs/>
          <w:sz w:val="22"/>
          <w:szCs w:val="22"/>
        </w:rPr>
        <w:t xml:space="preserve">18.</w:t>
      </w:r>
      <w:r>
        <w:rPr>
          <w:sz w:val="22"/>
          <w:szCs w:val="22"/>
        </w:rPr>
        <w:t xml:space="preserve">  If the leg consists of two or more bars, compare the direction of the leg to the higher-timeframe bias computed in step 10.</w:t>
      </w:r>
    </w:p>
    <w:p>
      <w:pPr>
        <w:spacing w:after="100" w:line="276"/>
        <w:ind w:left="720" w:hanging="420"/>
      </w:pPr>
      <w:r>
        <w:rPr>
          <w:b/>
          <w:bCs/>
          <w:sz w:val="22"/>
          <w:szCs w:val="22"/>
        </w:rPr>
        <w:t xml:space="preserve">19.</w:t>
      </w:r>
      <w:r>
        <w:rPr>
          <w:sz w:val="22"/>
          <w:szCs w:val="22"/>
        </w:rPr>
        <w:t xml:space="preserve">  If the leg direction matches the bias, discard it and record the reason code agreed_with_bias, because a move agreeing with the trend is continuation rather than manipulation.</w:t>
      </w:r>
    </w:p>
    <w:p>
      <w:pPr>
        <w:spacing w:after="100" w:line="276"/>
        <w:ind w:left="720" w:hanging="420"/>
      </w:pPr>
      <w:r>
        <w:rPr>
          <w:b/>
          <w:bCs/>
          <w:sz w:val="22"/>
          <w:szCs w:val="22"/>
        </w:rPr>
        <w:t xml:space="preserve">20.</w:t>
      </w:r>
      <w:r>
        <w:rPr>
          <w:sz w:val="22"/>
          <w:szCs w:val="22"/>
        </w:rPr>
        <w:t xml:space="preserve">  If the leg direction opposes the bias, accept it as a valid candidate and continue to step 21.</w:t>
      </w:r>
    </w:p>
    <w:p>
      <w:pPr>
        <w:spacing w:after="100" w:line="276"/>
        <w:ind w:left="720" w:hanging="420"/>
      </w:pPr>
      <w:r>
        <w:rPr>
          <w:b/>
          <w:bCs/>
          <w:sz w:val="22"/>
          <w:szCs w:val="22"/>
        </w:rPr>
        <w:t xml:space="preserve">21.</w:t>
      </w:r>
      <w:r>
        <w:rPr>
          <w:sz w:val="22"/>
          <w:szCs w:val="22"/>
        </w:rPr>
        <w:t xml:space="preserve">  Project the inverse-Fibonacci price levels from the candidate leg's high and low, and store them as the session's level grid.</w:t>
      </w:r>
    </w:p>
    <w:p>
      <w:pPr>
        <w:spacing w:after="100" w:line="276"/>
        <w:ind w:left="720" w:hanging="420"/>
      </w:pPr>
      <w:r>
        <w:rPr>
          <w:b/>
          <w:bCs/>
          <w:sz w:val="22"/>
          <w:szCs w:val="22"/>
        </w:rPr>
        <w:t xml:space="preserve">22.</w:t>
      </w:r>
      <w:r>
        <w:rPr>
          <w:sz w:val="22"/>
          <w:szCs w:val="22"/>
        </w:rPr>
        <w:t xml:space="preserve">  Step forward through each subsequent 1-minute bar, checking whether its price touches any level in the grid.</w:t>
      </w:r>
    </w:p>
    <w:p>
      <w:pPr>
        <w:spacing w:after="100" w:line="276"/>
        <w:ind w:left="720" w:hanging="420"/>
      </w:pPr>
      <w:r>
        <w:rPr>
          <w:b/>
          <w:bCs/>
          <w:sz w:val="22"/>
          <w:szCs w:val="22"/>
        </w:rPr>
        <w:t xml:space="preserve">23.</w:t>
      </w:r>
      <w:r>
        <w:rPr>
          <w:sz w:val="22"/>
          <w:szCs w:val="22"/>
        </w:rPr>
        <w:t xml:space="preserve">  When a bar touches a level, evaluate four true-or-false confluence checks on that bar: (a) whether a candlestick reversal pattern occurs; (b) whether price is within tolerance of the session VWAP; (c) whether price is within tolerance of a round number; and (d) whether price is within tolerance of a stored point of interest from step 15.</w:t>
      </w:r>
    </w:p>
    <w:p>
      <w:pPr>
        <w:spacing w:after="100" w:line="276"/>
        <w:ind w:left="720" w:hanging="420"/>
      </w:pPr>
      <w:r>
        <w:rPr>
          <w:b/>
          <w:bCs/>
          <w:sz w:val="22"/>
          <w:szCs w:val="22"/>
        </w:rPr>
        <w:t xml:space="preserve">24.</w:t>
      </w:r>
      <w:r>
        <w:rPr>
          <w:sz w:val="22"/>
          <w:szCs w:val="22"/>
        </w:rPr>
        <w:t xml:space="preserve">  Add up the number of true results to produce a confluence score between 0 and 4, and record both the score and the four individual results.</w:t>
      </w:r>
    </w:p>
    <w:p>
      <w:pPr>
        <w:spacing w:after="100" w:line="276"/>
        <w:ind w:left="720" w:hanging="420"/>
      </w:pPr>
      <w:r>
        <w:rPr>
          <w:b/>
          <w:bCs/>
          <w:sz w:val="22"/>
          <w:szCs w:val="22"/>
        </w:rPr>
        <w:t xml:space="preserve">25.</w:t>
      </w:r>
      <w:r>
        <w:rPr>
          <w:sz w:val="22"/>
          <w:szCs w:val="22"/>
        </w:rPr>
        <w:t xml:space="preserve">  If the touched level is graded 2.0-2.5 and the mode is full, continue only when the confluence score is 2 or greater; otherwise skip the trade and record the reason code low_confluence_score.</w:t>
      </w:r>
    </w:p>
    <w:p>
      <w:pPr>
        <w:spacing w:after="100" w:line="276"/>
        <w:ind w:left="720" w:hanging="420"/>
      </w:pPr>
      <w:r>
        <w:rPr>
          <w:b/>
          <w:bCs/>
          <w:sz w:val="22"/>
          <w:szCs w:val="22"/>
        </w:rPr>
        <w:t xml:space="preserve">26.</w:t>
      </w:r>
      <w:r>
        <w:rPr>
          <w:sz w:val="22"/>
          <w:szCs w:val="22"/>
        </w:rPr>
        <w:t xml:space="preserve">  If the touched level is graded 2.0-2.5 and the mode is A+ only, skip the trade regardless of the score and record the reason code a_plus_mode_excluded.</w:t>
      </w:r>
    </w:p>
    <w:p>
      <w:pPr>
        <w:spacing w:after="100" w:line="276"/>
        <w:ind w:left="720" w:hanging="420"/>
      </w:pPr>
      <w:r>
        <w:rPr>
          <w:b/>
          <w:bCs/>
          <w:sz w:val="22"/>
          <w:szCs w:val="22"/>
        </w:rPr>
        <w:t xml:space="preserve">27.</w:t>
      </w:r>
      <w:r>
        <w:rPr>
          <w:sz w:val="22"/>
          <w:szCs w:val="22"/>
        </w:rPr>
        <w:t xml:space="preserve">  If the touched level is graded 4.5, continue regardless of mode and score.</w:t>
      </w:r>
    </w:p>
    <w:p>
      <w:pPr>
        <w:spacing w:after="100" w:line="276"/>
        <w:ind w:left="720" w:hanging="420"/>
      </w:pPr>
      <w:r>
        <w:rPr>
          <w:b/>
          <w:bCs/>
          <w:sz w:val="22"/>
          <w:szCs w:val="22"/>
        </w:rPr>
        <w:t xml:space="preserve">28.</w:t>
      </w:r>
      <w:r>
        <w:rPr>
          <w:sz w:val="22"/>
          <w:szCs w:val="22"/>
        </w:rPr>
        <w:t xml:space="preserve">  Set the trade direction opposite to the direction of the leg's push. In the random_control arm only, assign the direction by a seeded pseudorandom coin flip instead, and record the seed so the result is reproducible.</w:t>
      </w:r>
    </w:p>
    <w:p>
      <w:pPr>
        <w:spacing w:after="100" w:line="276"/>
        <w:ind w:left="720" w:hanging="420"/>
      </w:pPr>
      <w:r>
        <w:rPr>
          <w:b/>
          <w:bCs/>
          <w:sz w:val="22"/>
          <w:szCs w:val="22"/>
        </w:rPr>
        <w:t xml:space="preserve">29.</w:t>
      </w:r>
      <w:r>
        <w:rPr>
          <w:sz w:val="22"/>
          <w:szCs w:val="22"/>
        </w:rPr>
        <w:t xml:space="preserve">  Compute the stop price as the next inverse-Fibonacci tier beyond the entry level, and compute the stop distance as the absolute difference between the entry price and the stop price.</w:t>
      </w:r>
    </w:p>
    <w:p>
      <w:pPr>
        <w:spacing w:after="100" w:line="276"/>
        <w:ind w:left="720" w:hanging="420"/>
      </w:pPr>
      <w:r>
        <w:rPr>
          <w:b/>
          <w:bCs/>
          <w:sz w:val="22"/>
          <w:szCs w:val="22"/>
        </w:rPr>
        <w:t xml:space="preserve">30.</w:t>
      </w:r>
      <w:r>
        <w:rPr>
          <w:sz w:val="22"/>
          <w:szCs w:val="22"/>
        </w:rPr>
        <w:t xml:space="preserve">  Compute the risk amount as 1.0% of the current simulated account equity, then compute the position size as the risk amount divided by the stop distance, rounded down to a whole number of contracts.</w:t>
      </w:r>
    </w:p>
    <w:p>
      <w:pPr>
        <w:spacing w:after="100" w:line="276"/>
        <w:ind w:left="720" w:hanging="420"/>
      </w:pPr>
      <w:r>
        <w:rPr>
          <w:b/>
          <w:bCs/>
          <w:sz w:val="22"/>
          <w:szCs w:val="22"/>
        </w:rPr>
        <w:t xml:space="preserve">31.</w:t>
      </w:r>
      <w:r>
        <w:rPr>
          <w:sz w:val="22"/>
          <w:szCs w:val="22"/>
        </w:rPr>
        <w:t xml:space="preserve">  If the rounded position size is zero, skip the trade and record the reason code size_below_one_contract.</w:t>
      </w:r>
    </w:p>
    <w:p>
      <w:pPr>
        <w:spacing w:after="100" w:line="276"/>
        <w:ind w:left="720" w:hanging="420"/>
      </w:pPr>
      <w:r>
        <w:rPr>
          <w:b/>
          <w:bCs/>
          <w:sz w:val="22"/>
          <w:szCs w:val="22"/>
        </w:rPr>
        <w:t xml:space="preserve">32.</w:t>
      </w:r>
      <w:r>
        <w:rPr>
          <w:sz w:val="22"/>
          <w:szCs w:val="22"/>
        </w:rPr>
        <w:t xml:space="preserve">  Set the profit target to the session VWAP. If price has already passed the VWAP in the trade's favour at the moment of entry, set the target to the nearest opposing point of interest instead.</w:t>
      </w:r>
    </w:p>
    <w:p>
      <w:pPr>
        <w:spacing w:after="100" w:line="276"/>
        <w:ind w:left="720" w:hanging="420"/>
      </w:pPr>
      <w:r>
        <w:rPr>
          <w:b/>
          <w:bCs/>
          <w:sz w:val="22"/>
          <w:szCs w:val="22"/>
        </w:rPr>
        <w:t xml:space="preserve">33.</w:t>
      </w:r>
      <w:r>
        <w:rPr>
          <w:sz w:val="22"/>
          <w:szCs w:val="22"/>
        </w:rPr>
        <w:t xml:space="preserve">  Check whether the daily loss circuit breaker has been triggered. If it has, skip the trade and record the reason code circuit_breaker_tripped.</w:t>
      </w:r>
    </w:p>
    <w:p>
      <w:pPr>
        <w:spacing w:after="100" w:line="276"/>
        <w:ind w:left="720" w:hanging="420"/>
      </w:pPr>
      <w:r>
        <w:rPr>
          <w:b/>
          <w:bCs/>
          <w:sz w:val="22"/>
          <w:szCs w:val="22"/>
        </w:rPr>
        <w:t xml:space="preserve">34.</w:t>
      </w:r>
      <w:r>
        <w:rPr>
          <w:sz w:val="22"/>
          <w:szCs w:val="22"/>
        </w:rPr>
        <w:t xml:space="preserve">  Check whether a simulated position is already open. If one is, skip the trade and record the reason code conflicting_position.</w:t>
      </w:r>
    </w:p>
    <w:p>
      <w:pPr>
        <w:spacing w:after="100" w:line="276"/>
        <w:ind w:left="720" w:hanging="420"/>
      </w:pPr>
      <w:r>
        <w:rPr>
          <w:b/>
          <w:bCs/>
          <w:sz w:val="22"/>
          <w:szCs w:val="22"/>
        </w:rPr>
        <w:t xml:space="preserve">35.</w:t>
      </w:r>
      <w:r>
        <w:rPr>
          <w:sz w:val="22"/>
          <w:szCs w:val="22"/>
        </w:rPr>
        <w:t xml:space="preserve">  If both checks in steps 33 and 34 pass, open the simulated position at the touch price plus one tick of adverse slippage, and subtract the commission.</w:t>
      </w:r>
    </w:p>
    <w:p>
      <w:pPr>
        <w:spacing w:after="100" w:line="276"/>
        <w:ind w:left="720" w:hanging="420"/>
      </w:pPr>
      <w:r>
        <w:rPr>
          <w:b/>
          <w:bCs/>
          <w:sz w:val="22"/>
          <w:szCs w:val="22"/>
        </w:rPr>
        <w:t xml:space="preserve">36.</w:t>
      </w:r>
      <w:r>
        <w:rPr>
          <w:sz w:val="22"/>
          <w:szCs w:val="22"/>
        </w:rPr>
        <w:t xml:space="preserve">  Step forward bar by bar, comparing each bar's high and low against the stop price and the target price.</w:t>
      </w:r>
    </w:p>
    <w:p>
      <w:pPr>
        <w:spacing w:after="100" w:line="276"/>
        <w:ind w:left="720" w:hanging="420"/>
      </w:pPr>
      <w:r>
        <w:rPr>
          <w:b/>
          <w:bCs/>
          <w:sz w:val="22"/>
          <w:szCs w:val="22"/>
        </w:rPr>
        <w:t xml:space="preserve">37.</w:t>
      </w:r>
      <w:r>
        <w:rPr>
          <w:sz w:val="22"/>
          <w:szCs w:val="22"/>
        </w:rPr>
        <w:t xml:space="preserve">  If the target price is reached first, close the position and record a win together with its realised R-multiple.</w:t>
      </w:r>
    </w:p>
    <w:p>
      <w:pPr>
        <w:spacing w:after="100" w:line="276"/>
        <w:ind w:left="720" w:hanging="420"/>
      </w:pPr>
      <w:r>
        <w:rPr>
          <w:b/>
          <w:bCs/>
          <w:sz w:val="22"/>
          <w:szCs w:val="22"/>
        </w:rPr>
        <w:t xml:space="preserve">38.</w:t>
      </w:r>
      <w:r>
        <w:rPr>
          <w:sz w:val="22"/>
          <w:szCs w:val="22"/>
        </w:rPr>
        <w:t xml:space="preserve">  If the stop price is reached first, close the position and record a loss together with its realised R-multiple.</w:t>
      </w:r>
    </w:p>
    <w:p>
      <w:pPr>
        <w:spacing w:after="100" w:line="276"/>
        <w:ind w:left="720" w:hanging="420"/>
      </w:pPr>
      <w:r>
        <w:rPr>
          <w:b/>
          <w:bCs/>
          <w:sz w:val="22"/>
          <w:szCs w:val="22"/>
        </w:rPr>
        <w:t xml:space="preserve">39.</w:t>
      </w:r>
      <w:r>
        <w:rPr>
          <w:sz w:val="22"/>
          <w:szCs w:val="22"/>
        </w:rPr>
        <w:t xml:space="preserve">  If a single bar's range spans both the stop and the target, record the outcome as a loss. This is a deliberately conservative assumption: the order of price movement within a bar cannot be determined from OHLC data, and assuming the favourable order would inflate the results.</w:t>
      </w:r>
    </w:p>
    <w:p>
      <w:pPr>
        <w:spacing w:after="100" w:line="276"/>
        <w:ind w:left="720" w:hanging="420"/>
      </w:pPr>
      <w:r>
        <w:rPr>
          <w:b/>
          <w:bCs/>
          <w:sz w:val="22"/>
          <w:szCs w:val="22"/>
        </w:rPr>
        <w:t xml:space="preserve">40.</w:t>
      </w:r>
      <w:r>
        <w:rPr>
          <w:sz w:val="22"/>
          <w:szCs w:val="22"/>
        </w:rPr>
        <w:t xml:space="preserve">  If neither the stop nor the target is reached within 30 minutes after the session closes, close the position at the market price and record a scratch together with its realised R-multiple.</w:t>
      </w:r>
    </w:p>
    <w:p>
      <w:pPr>
        <w:spacing w:after="100" w:line="276"/>
        <w:ind w:left="720" w:hanging="420"/>
      </w:pPr>
      <w:r>
        <w:rPr>
          <w:b/>
          <w:bCs/>
          <w:sz w:val="22"/>
          <w:szCs w:val="22"/>
        </w:rPr>
        <w:t xml:space="preserve">41.</w:t>
      </w:r>
      <w:r>
        <w:rPr>
          <w:sz w:val="22"/>
          <w:szCs w:val="22"/>
        </w:rPr>
        <w:t xml:space="preserve">  Write one record to the decision log at every decision point, containing the timestamp, session date, arm, mode, regime, bias, level grade, confluence score with its four component results, the decision taken, the reason code, and where applicable the entry, stop, target, position size, and realised R-multiple.</w:t>
      </w:r>
    </w:p>
    <w:p>
      <w:pPr>
        <w:pStyle w:val="Heading2"/>
        <w:spacing w:after="120" w:before="240"/>
      </w:pPr>
      <w:r>
        <w:rPr>
          <w:b/>
          <w:bCs/>
          <w:color w:val="333333"/>
          <w:sz w:val="24"/>
          <w:szCs w:val="24"/>
        </w:rPr>
        <w:t xml:space="preserve">Part C — Data collection and analysis (carried out by the researcher after each arm is complete)</w:t>
      </w:r>
    </w:p>
    <w:p>
      <w:pPr>
        <w:spacing w:after="100" w:line="276"/>
        <w:ind w:left="720" w:hanging="420"/>
      </w:pPr>
      <w:r>
        <w:rPr>
          <w:b/>
          <w:bCs/>
          <w:sz w:val="22"/>
          <w:szCs w:val="22"/>
        </w:rPr>
        <w:t xml:space="preserve">42.</w:t>
      </w:r>
      <w:r>
        <w:rPr>
          <w:sz w:val="22"/>
          <w:szCs w:val="22"/>
        </w:rPr>
        <w:t xml:space="preserve">  Export the arm's decision log to a spreadsheet file using the command stdvbot export-log --out arm_&lt;name&gt;.csv.</w:t>
      </w:r>
    </w:p>
    <w:p>
      <w:pPr>
        <w:spacing w:after="100" w:line="276"/>
        <w:ind w:left="720" w:hanging="420"/>
      </w:pPr>
      <w:r>
        <w:rPr>
          <w:b/>
          <w:bCs/>
          <w:sz w:val="22"/>
          <w:szCs w:val="22"/>
        </w:rPr>
        <w:t xml:space="preserve">43.</w:t>
      </w:r>
      <w:r>
        <w:rPr>
          <w:sz w:val="22"/>
          <w:szCs w:val="22"/>
        </w:rPr>
        <w:t xml:space="preserve">  Verify the integrity of the data by confirming that the number of recorded entries equals the number of recorded exits, and that no position remains open at the end of the dataset.</w:t>
      </w:r>
    </w:p>
    <w:p>
      <w:pPr>
        <w:spacing w:after="100" w:line="276"/>
        <w:ind w:left="720" w:hanging="420"/>
      </w:pPr>
      <w:r>
        <w:rPr>
          <w:b/>
          <w:bCs/>
          <w:sz w:val="22"/>
          <w:szCs w:val="22"/>
        </w:rPr>
        <w:t xml:space="preserve">44.</w:t>
      </w:r>
      <w:r>
        <w:rPr>
          <w:sz w:val="22"/>
          <w:szCs w:val="22"/>
        </w:rPr>
        <w:t xml:space="preserve">  For each arm, compute the mean return per trade in R-multiples, the standard deviation, the win rate, the profit factor, the maximum drawdown, and the total number of trades.</w:t>
      </w:r>
    </w:p>
    <w:p>
      <w:pPr>
        <w:spacing w:after="100" w:line="276"/>
        <w:ind w:left="720" w:hanging="420"/>
      </w:pPr>
      <w:r>
        <w:rPr>
          <w:b/>
          <w:bCs/>
          <w:sz w:val="22"/>
          <w:szCs w:val="22"/>
        </w:rPr>
        <w:t xml:space="preserve">45.</w:t>
      </w:r>
      <w:r>
        <w:rPr>
          <w:sz w:val="22"/>
          <w:szCs w:val="22"/>
        </w:rPr>
        <w:t xml:space="preserve">  Test each arm's mean return per trade against zero using a one-sample t-test at a significance level of 0.05.</w:t>
      </w:r>
    </w:p>
    <w:p>
      <w:pPr>
        <w:spacing w:after="100" w:line="276"/>
        <w:ind w:left="720" w:hanging="420"/>
      </w:pPr>
      <w:r>
        <w:rPr>
          <w:b/>
          <w:bCs/>
          <w:sz w:val="22"/>
          <w:szCs w:val="22"/>
        </w:rPr>
        <w:t xml:space="preserve">46.</w:t>
      </w:r>
      <w:r>
        <w:rPr>
          <w:sz w:val="22"/>
          <w:szCs w:val="22"/>
        </w:rPr>
        <w:t xml:space="preserve">  Compare the regime-gated arm against the random-direction control arm using Welch's unequal-variance t-test on the per-trade returns at a significance level of 0.05, and compare the two win rates using a two-proportion z-test.</w:t>
      </w:r>
    </w:p>
    <w:p>
      <w:pPr>
        <w:spacing w:after="100" w:line="276"/>
        <w:ind w:left="720" w:hanging="420"/>
      </w:pPr>
      <w:r>
        <w:rPr>
          <w:b/>
          <w:bCs/>
          <w:sz w:val="22"/>
          <w:szCs w:val="22"/>
        </w:rPr>
        <w:t xml:space="preserve">47.</w:t>
      </w:r>
      <w:r>
        <w:rPr>
          <w:sz w:val="22"/>
          <w:szCs w:val="22"/>
        </w:rPr>
        <w:t xml:space="preserve">  Compute a 95% confidence interval for each arm's mean return per trade using bootstrap resampling with 10,000 resamples.</w:t>
      </w:r>
    </w:p>
    <w:p>
      <w:pPr>
        <w:spacing w:after="100" w:line="276"/>
        <w:ind w:left="720" w:hanging="420"/>
      </w:pPr>
      <w:r>
        <w:rPr>
          <w:b/>
          <w:bCs/>
          <w:sz w:val="22"/>
          <w:szCs w:val="22"/>
        </w:rPr>
        <w:t xml:space="preserve">48.</w:t>
      </w:r>
      <w:r>
        <w:rPr>
          <w:sz w:val="22"/>
          <w:szCs w:val="22"/>
        </w:rPr>
        <w:t xml:space="preserve">  Tabulate how often each skip reason code occurred in each arm, in order to determine which filters removed the most candidate trades, and report these counts alongside the performance results.</w:t>
      </w:r>
    </w:p>
    <w:p>
      <w:pPr>
        <w:spacing w:after="100" w:line="276"/>
        <w:ind w:left="720" w:hanging="420"/>
      </w:pPr>
      <w:r>
        <w:rPr>
          <w:b/>
          <w:bCs/>
          <w:sz w:val="22"/>
          <w:szCs w:val="22"/>
        </w:rPr>
        <w:t xml:space="preserve">49.</w:t>
      </w:r>
      <w:r>
        <w:rPr>
          <w:sz w:val="22"/>
          <w:szCs w:val="22"/>
        </w:rPr>
        <w:t xml:space="preserve">  Repeat steps 8 to 47 for each of the three arms. Because all arms replay the same historical period, no adjustment for differing market conditions is required.</w:t>
      </w:r>
    </w:p>
    <w:p>
      <w:pPr>
        <w:spacing w:after="100" w:line="276"/>
        <w:ind w:left="720" w:hanging="420"/>
      </w:pPr>
      <w:r>
        <w:rPr>
          <w:b/>
          <w:bCs/>
          <w:sz w:val="22"/>
          <w:szCs w:val="22"/>
        </w:rPr>
        <w:t xml:space="preserve">50.</w:t>
      </w:r>
      <w:r>
        <w:rPr>
          <w:sz w:val="22"/>
          <w:szCs w:val="22"/>
        </w:rPr>
        <w:t xml:space="preserve">  Only after all three arms have been analysed, repeat the study while varying the confluence threshold, the stop tier, the risk percentage, and the timeout window, in order to carry out a sensitivity analysis. Report any such variation as a separate secondary result and never as a revision of the primary result, because tuning parameters against the same data that produced the primary finding would overfit the conclusion to that data.</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2026-08-29T00:20:28.013Z</dcterms:created>
  <dcterms:modified xsi:type="dcterms:W3CDTF">2026-08-29T00:20:28.013Z</dcterms:modified>
</cp:coreProperties>
</file>

<file path=docProps/custom.xml><?xml version="1.0" encoding="utf-8"?>
<Properties xmlns="http://schemas.openxmlformats.org/officeDocument/2006/custom-properties" xmlns:vt="http://schemas.openxmlformats.org/officeDocument/2006/docPropsVTypes"/>
</file>