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66666"/>
          <w:sz w:val="20"/>
          <w:szCs w:val="20"/>
        </w:rPr>
        <w:t xml:space="preserve">Background Report — Sections 2 to 8</w:t>
      </w:r>
    </w:p>
    <w:p>
      <w:pPr>
        <w:spacing w:after="40"/>
        <w:jc w:val="center"/>
      </w:pPr>
      <w:r>
        <w:rPr>
          <w:color w:val="888888"/>
          <w:sz w:val="19"/>
          <w:szCs w:val="19"/>
        </w:rPr>
        <w:t xml:space="preserve">Regime-Gated Reversal Trading: Provocation, Prior Work, and the Case for the Study</w:t>
      </w:r>
    </w:p>
    <w:p>
      <w:pPr>
        <w:pBdr>
          <w:bottom w:val="single" w:color="BBBBBB" w:sz="6"/>
        </w:pBdr>
        <w:spacing w:after="200" w:before="60"/>
      </w:pPr>
      <w:r>
        <w:rPr>
          <w:sz w:val="2"/>
          <w:szCs w:val="2"/>
        </w:rPr>
        <w:t xml:space="preserve"/>
      </w:r>
    </w:p>
    <w:p>
      <w:pPr>
        <w:pStyle w:val="Heading1"/>
        <w:spacing w:after="160" w:before="360"/>
      </w:pPr>
      <w:r>
        <w:rPr>
          <w:b/>
          <w:bCs/>
          <w:color w:val="1A1A1A"/>
          <w:sz w:val="27"/>
          <w:szCs w:val="27"/>
        </w:rPr>
        <w:t xml:space="preserve">2.  The Microstructural Basis: Why Liquidity Sweeps Are Not Folklore</w:t>
      </w:r>
    </w:p>
    <w:p>
      <w:pPr>
        <w:spacing w:after="140" w:line="300"/>
        <w:jc w:val="both"/>
      </w:pPr>
      <w:r>
        <w:rPr>
          <w:sz w:val="22"/>
          <w:szCs w:val="22"/>
        </w:rPr>
        <w:t xml:space="preserve">Any serious defence of this project has to begin by separating two things that are routinely confused: the market mechanism the system tries to exploit, and the popular trading methodology built on top of that mechanism. The first is well established in the academic literature. The second is almost entirely untested. Conflating them is the single most common error in retail trading discourse, and keeping them apart is what makes this study worth running.</w:t>
      </w:r>
    </w:p>
    <w:p>
      <w:pPr>
        <w:spacing w:after="140" w:line="300"/>
        <w:jc w:val="both"/>
      </w:pPr>
      <w:r>
        <w:rPr>
          <w:sz w:val="22"/>
          <w:szCs w:val="22"/>
        </w:rPr>
        <w:t xml:space="preserve">The mechanism is order clustering. Osler (2003), working with proprietary order data from a large foreign exchange dealing bank, found that stop-loss and take-profit orders are not distributed smoothly across the price axis. They cluster heavily at round numbers, and those round numbers are precisely the levels that technical traders designate as support and resistance. Crucially, Osler showed that the two order types behave asymmetrically. Take-profit orders cluster just before round numbers and act as a brake, causing trends to reverse at those levels. Stop-loss orders cluster just beyond them and act as an accelerant, causing trends to gain momentum once the level is breached.</w:t>
      </w:r>
    </w:p>
    <w:p>
      <w:pPr>
        <w:spacing w:after="140" w:line="300"/>
        <w:jc w:val="both"/>
      </w:pPr>
      <w:r>
        <w:rPr>
          <w:sz w:val="22"/>
          <w:szCs w:val="22"/>
        </w:rPr>
        <w:t xml:space="preserve">This asymmetry is the microstructural explanation for two of technical analysis's oldest claims — that price reverses at support and resistance, and that it accelerates once support and resistance break. Osler's contribution was not to assert that these patterns exist, but to identify the order-flow reason why they should exist. Osler (2005) extended this into a model of price cascades, showing how a cluster of triggered stop-loss orders can propagate a move well beyond what the initiating trade would justify.</w:t>
      </w:r>
    </w:p>
    <w:p>
      <w:pPr>
        <w:spacing w:after="140" w:line="300"/>
        <w:jc w:val="both"/>
      </w:pPr>
      <w:r>
        <w:rPr>
          <w:sz w:val="22"/>
          <w:szCs w:val="22"/>
        </w:rPr>
        <w:t xml:space="preserve">The practical implication is the one this project is built on. If stop orders pool in predictable locations, then a price move that runs through such a pool is mechanically different from a move that occurs in open space. The former consumes resting liquidity; it is, in a sense, self-exhausting. Once the pooled orders are absorbed, the fuel for the move is gone, and price may revert. A trader who can distinguish a liquidity-consuming move from a genuine repricing has identified something real about market structure — not a chart pattern, but a depletion event.</w:t>
      </w:r>
    </w:p>
    <w:p>
      <w:pPr>
        <w:pStyle w:val="Heading2"/>
        <w:spacing w:after="120" w:before="260"/>
      </w:pPr>
      <w:r>
        <w:rPr>
          <w:b/>
          <w:bCs/>
          <w:color w:val="333333"/>
          <w:sz w:val="23"/>
          <w:szCs w:val="23"/>
        </w:rPr>
        <w:t xml:space="preserve">2.1  What the mechanism does and does not establish</w:t>
      </w:r>
    </w:p>
    <w:p>
      <w:pPr>
        <w:spacing w:after="140" w:line="300"/>
        <w:jc w:val="both"/>
      </w:pPr>
      <w:r>
        <w:rPr>
          <w:sz w:val="22"/>
          <w:szCs w:val="22"/>
        </w:rPr>
        <w:t xml:space="preserve">It is important to state the limits of this foundation honestly, because overstating it is where most retail arguments collapse. Osler's evidence comes from foreign exchange dealer order books in a specific period. It establishes that stop clustering occurs and that it has price consequences. It does not establish that a retail trader can identify these events in real time from candlestick data alone, that the resulting reversion is large enough to overcome transaction costs, or that any particular entry rule captures it profitably.</w:t>
      </w:r>
    </w:p>
    <w:p>
      <w:pPr>
        <w:spacing w:after="140" w:line="300"/>
        <w:jc w:val="both"/>
      </w:pPr>
      <w:r>
        <w:rPr>
          <w:sz w:val="22"/>
          <w:szCs w:val="22"/>
        </w:rPr>
        <w:t xml:space="preserve">The gap between “this mechanism exists” and “this mechanism can be traded systematically” is enormous, and it is exactly the gap this study is designed to measure. The mechanism gives the project a legitimate reason to exist. It does not give it a result.</w:t>
      </w:r>
    </w:p>
    <w:p>
      <w:pPr>
        <w:pStyle w:val="Heading1"/>
        <w:spacing w:after="160" w:before="360"/>
      </w:pPr>
      <w:r>
        <w:rPr>
          <w:b/>
          <w:bCs/>
          <w:color w:val="1A1A1A"/>
          <w:sz w:val="27"/>
          <w:szCs w:val="27"/>
        </w:rPr>
        <w:t xml:space="preserve">3.  Session Structure and the Timing of Liquidity Events</w:t>
      </w:r>
    </w:p>
    <w:p>
      <w:pPr>
        <w:spacing w:after="140" w:line="300"/>
        <w:jc w:val="both"/>
      </w:pPr>
      <w:r>
        <w:rPr>
          <w:sz w:val="22"/>
          <w:szCs w:val="22"/>
        </w:rPr>
        <w:t xml:space="preserve">If liquidity pools are the target, the next question is when they are most likely to be swept. The answer offered by the intraday seasonality literature is that trading activity is not uniform across the day, and that session boundaries are the sharpest discontinuities in the schedule.</w:t>
      </w:r>
    </w:p>
    <w:p>
      <w:pPr>
        <w:spacing w:after="140" w:line="300"/>
        <w:jc w:val="both"/>
      </w:pPr>
      <w:r>
        <w:rPr>
          <w:sz w:val="22"/>
          <w:szCs w:val="22"/>
        </w:rPr>
        <w:t xml:space="preserve">Intraday volatility in equity markets follows a well-documented U-shape, elevated at the open and again before the close, and depressed around midday. In futures markets traded across overlapping global sessions the pattern is more complex but no less structured: research on platinum and gold futures found volatility rising at the open of each of the Tokyo, London and New York day sessions, with the shape of the intraday profile differing by venue — approximately L-shaped during Tokyo hours, U-shaped during London hours, and declining roughly linearly through the New York session. Bollerslev, Cai and Song (2000), studying US Treasury bond futures, attributed a substantial share of intraday volatility periodicity to scheduled macroeconomic announcements, showing that the timing of information arrival is itself a structural feature of the trading day.</w:t>
      </w:r>
    </w:p>
    <w:p>
      <w:pPr>
        <w:spacing w:after="140" w:line="300"/>
        <w:jc w:val="both"/>
      </w:pPr>
      <w:r>
        <w:rPr>
          <w:sz w:val="22"/>
          <w:szCs w:val="22"/>
        </w:rPr>
        <w:t xml:space="preserve">Two consequences follow for this study. First, the opening of a session is a moment when a large volume of orders accumulated during the preceding quiet period meets a sudden increase in participation. If stop orders have pooled above and below the prior session's extremes, the open is when they are most likely to be reached. Second, because the shape of intraday activity differs by session, the Asia open and the New York open are not interchangeable events; they involve different participants, different liquidity depth, and different information flow. The decision in this study to arm the detection window separately at each of the two session opens, rather than scanning continuously, follows directly from this literature.</w:t>
      </w:r>
    </w:p>
    <w:p>
      <w:pPr>
        <w:spacing w:after="140" w:line="300"/>
        <w:jc w:val="both"/>
      </w:pPr>
      <w:r>
        <w:rPr>
          <w:sz w:val="22"/>
          <w:szCs w:val="22"/>
        </w:rPr>
        <w:t xml:space="preserve">This also explains a design choice that would otherwise look arbitrary. The system does not look for liquidity sweeps at all hours. It looks for them in a bounded window at each session open, because that is where the theory predicts the pooled liquidity and the participation shock coincide. Restricting the search space in this way is not merely a convenience; it is a testable commitment derived from the seasonality literature, and it reduces the number of opportunities for a spurious pattern to be discovered by accident.</w:t>
      </w:r>
    </w:p>
    <w:p>
      <w:pPr>
        <w:pStyle w:val="Heading1"/>
        <w:spacing w:after="160" w:before="360"/>
      </w:pPr>
      <w:r>
        <w:rPr>
          <w:b/>
          <w:bCs/>
          <w:color w:val="1A1A1A"/>
          <w:sz w:val="27"/>
          <w:szCs w:val="27"/>
        </w:rPr>
        <w:t xml:space="preserve">4.  From Mechanism to Method: The Rise of Smart Money Concepts</w:t>
      </w:r>
    </w:p>
    <w:p>
      <w:pPr>
        <w:spacing w:after="140" w:line="300"/>
        <w:jc w:val="both"/>
      </w:pPr>
      <w:r>
        <w:rPr>
          <w:sz w:val="22"/>
          <w:szCs w:val="22"/>
        </w:rPr>
        <w:t xml:space="preserve">Over roughly the last decade, an informal body of trading methodology has grown up around exactly the mechanism Osler described. It circulates under the names Smart Money Concepts (SMC) and Inner Circle Trader (ICT) methodology, and it is taught to an audience that runs into the millions through online video, subscription communities, and social media. Its vocabulary is distinctive: liquidity sweeps, stop hunts, order blocks, fair value gaps, optimal trade entry, killzones, and points of interest.</w:t>
      </w:r>
    </w:p>
    <w:p>
      <w:pPr>
        <w:spacing w:after="140" w:line="300"/>
        <w:jc w:val="both"/>
      </w:pPr>
      <w:r>
        <w:rPr>
          <w:sz w:val="22"/>
          <w:szCs w:val="22"/>
        </w:rPr>
        <w:t xml:space="preserve">Stripped of its terminology, the core claim of this methodology is a restatement of Osler's finding. Retail stop orders cluster in predictable places — above obvious swing highs, below obvious swing lows, at round numbers, and at equal highs or equal lows that have held for some time. Larger participants transact against that resting liquidity. A move that runs through such a cluster and then reverses is therefore interpreted not as a failed breakout but as a deliberate sweep, and the reversal is the tradeable event.</w:t>
      </w:r>
    </w:p>
    <w:p>
      <w:pPr>
        <w:spacing w:after="140" w:line="300"/>
        <w:jc w:val="both"/>
      </w:pPr>
      <w:r>
        <w:rPr>
          <w:sz w:val="22"/>
          <w:szCs w:val="22"/>
        </w:rPr>
        <w:t xml:space="preserve">What makes this methodology interesting as a research subject is not that it is exotic, but that it is unusually specific. Unlike vaguer forms of chart reading, its rules can be written down mechanically. A liquidity sweep has an operational definition. A session window has fixed boundaries. A level grid can be computed arithmetically from a leg's high and low. This specificity is what makes the methodology falsifiable — and falsifiability is the entire justification for treating it as a scientific question rather than a matter of opinion.</w:t>
      </w:r>
    </w:p>
    <w:p>
      <w:pPr>
        <w:pStyle w:val="Heading2"/>
        <w:spacing w:after="120" w:before="260"/>
      </w:pPr>
      <w:r>
        <w:rPr>
          <w:b/>
          <w:bCs/>
          <w:color w:val="333333"/>
          <w:sz w:val="23"/>
          <w:szCs w:val="23"/>
        </w:rPr>
        <w:t xml:space="preserve">4.1  The scale of the claim, and the scale of the evidence</w:t>
      </w:r>
    </w:p>
    <w:p>
      <w:pPr>
        <w:spacing w:after="140" w:line="300"/>
        <w:jc w:val="both"/>
      </w:pPr>
      <w:r>
        <w:rPr>
          <w:sz w:val="22"/>
          <w:szCs w:val="22"/>
        </w:rPr>
        <w:t xml:space="preserve">The asymmetry here is striking. The methodology is enormously popular, it is monetised heavily through education products, and it makes concrete claims about how markets behave. Yet it is almost entirely absent from peer-reviewed finance literature. Searching the academic record for controlled tests of Smart Money Concepts returns essentially nothing of methodological quality: a small number of papers reference the terminology while testing something else, and no controlled experimental evaluation of the core rules appears in a reputable journal.</w:t>
      </w:r>
    </w:p>
    <w:p>
      <w:pPr>
        <w:spacing w:after="140" w:line="300"/>
        <w:jc w:val="both"/>
      </w:pPr>
      <w:r>
        <w:rPr>
          <w:sz w:val="22"/>
          <w:szCs w:val="22"/>
        </w:rPr>
        <w:t xml:space="preserve">This is the provocation behind the project. A body of method that claims to describe real market mechanics, that is taught at scale, and that people commit capital to, has never been subjected to the kind of test any first-year science student would recognise as adequate: a controlled comparison against a baseline, on a defined sample, with a stated significance threshold.</w:t>
      </w:r>
    </w:p>
    <w:p>
      <w:pPr>
        <w:pStyle w:val="Heading1"/>
        <w:spacing w:after="160" w:before="360"/>
      </w:pPr>
      <w:r>
        <w:rPr>
          <w:b/>
          <w:bCs/>
          <w:color w:val="1A1A1A"/>
          <w:sz w:val="27"/>
          <w:szCs w:val="27"/>
        </w:rPr>
        <w:t xml:space="preserve">5.  The Evidentiary Gap and the Missing Control</w:t>
      </w:r>
    </w:p>
    <w:p>
      <w:pPr>
        <w:spacing w:after="140" w:line="300"/>
        <w:jc w:val="both"/>
      </w:pPr>
      <w:r>
        <w:rPr>
          <w:sz w:val="22"/>
          <w:szCs w:val="22"/>
        </w:rPr>
        <w:t xml:space="preserve">Testing of these methods has not been entirely absent — it has simply happened outside the academic literature, in practitioner research of variable quality. The most rigorous public attempt located during this review codified four core ICT concepts — order blocks, fair value gaps, liquidity sweeps, and optimal trade entry — into explicit mechanical rules and tested them on SPY. None of the four produced a statistically significant forward-return edge. The strongest, the order block, generated an additional 0.121% over five days across 736 events, with a t-statistic of approximately 1.22, well below the conventional threshold of 2. This work is independent practitioner research rather than peer-reviewed scholarship and should be weighted accordingly, but it is methodologically serious and its findings are not encouraging for the methodology.</w:t>
      </w:r>
    </w:p>
    <w:p>
      <w:pPr>
        <w:spacing w:after="140" w:line="300"/>
        <w:jc w:val="both"/>
      </w:pPr>
      <w:r>
        <w:rPr>
          <w:sz w:val="22"/>
          <w:szCs w:val="22"/>
        </w:rPr>
        <w:t xml:space="preserve">That result matters for this study in two ways. It establishes that a null result is a realistic outcome and must be planned for rather than avoided. And it demonstrates that mechanical codification of these concepts is achievable, which removes the most common excuse offered when such tests fail — that the rules were not implemented faithfully.</w:t>
      </w:r>
    </w:p>
    <w:p>
      <w:pPr>
        <w:pStyle w:val="Heading2"/>
        <w:spacing w:after="120" w:before="260"/>
      </w:pPr>
      <w:r>
        <w:rPr>
          <w:b/>
          <w:bCs/>
          <w:color w:val="333333"/>
          <w:sz w:val="23"/>
          <w:szCs w:val="23"/>
        </w:rPr>
        <w:t xml:space="preserve">5.1  Why existing tests cannot settle the question</w:t>
      </w:r>
    </w:p>
    <w:p>
      <w:pPr>
        <w:spacing w:after="140" w:line="300"/>
        <w:jc w:val="both"/>
      </w:pPr>
      <w:r>
        <w:rPr>
          <w:sz w:val="22"/>
          <w:szCs w:val="22"/>
        </w:rPr>
        <w:t xml:space="preserve">There is, however, a structural weakness common to nearly all testing of this methodology, including the rigorous example above, and it is the weakness this study is specifically designed to remove. Almost every test evaluates whether the strategy makes money. Very few evaluate whether the strategy's decisions are better than an equivalent set of decisions made at random.</w:t>
      </w:r>
    </w:p>
    <w:p>
      <w:pPr>
        <w:spacing w:after="140" w:line="300"/>
        <w:jc w:val="both"/>
      </w:pPr>
      <w:r>
        <w:rPr>
          <w:sz w:val="22"/>
          <w:szCs w:val="22"/>
        </w:rPr>
        <w:t xml:space="preserve">The distinction is not pedantic. A trading system consists of many components: when to look, where to enter, how large a position to take, where to place the stop, where to take profit, and when to give up. A strategy can appear profitable because its position sizing and exit rules are sensible, while its actual directional judgement — the part the methodology claims to provide — contributes nothing. Conversely, a strategy can appear unprofitable because of costs and slippage while its directional judgement is genuinely informative. Testing profitability alone cannot separate these cases.</w:t>
      </w:r>
    </w:p>
    <w:p>
      <w:pPr>
        <w:spacing w:after="140" w:line="300"/>
        <w:jc w:val="both"/>
      </w:pPr>
      <w:r>
        <w:rPr>
          <w:sz w:val="22"/>
          <w:szCs w:val="22"/>
        </w:rPr>
        <w:t xml:space="preserve">The remedy is standard in experimental science and rare in trading research: hold everything constant and randomise only the component under test. If a system that chooses direction by the methodology's rules performs no better than an identical system that chooses direction by a coin flip, then whatever profit or loss the system produces is attributable to its sizing and exit machinery, not to its reading of market structure. That comparison is the core of this study's design, and its absence from the existing literature is the specific gap this project fills.</w:t>
      </w:r>
    </w:p>
    <w:p>
      <w:pPr>
        <w:pStyle w:val="Heading1"/>
        <w:spacing w:after="160" w:before="360"/>
      </w:pPr>
      <w:r>
        <w:rPr>
          <w:b/>
          <w:bCs/>
          <w:color w:val="1A1A1A"/>
          <w:sz w:val="27"/>
          <w:szCs w:val="27"/>
        </w:rPr>
        <w:t xml:space="preserve">6.  Regime Dependence: The Untested Second Claim</w:t>
      </w:r>
    </w:p>
    <w:p>
      <w:pPr>
        <w:spacing w:after="140" w:line="300"/>
        <w:jc w:val="both"/>
      </w:pPr>
      <w:r>
        <w:rPr>
          <w:sz w:val="22"/>
          <w:szCs w:val="22"/>
        </w:rPr>
        <w:t xml:space="preserve">A second claim within this methodology is even less examined than the first. Practitioners commonly assert that setup selectivity should vary with market conditions — that in a strongly trending market one should take only the highest-quality counter-trend setups, while in a ranging market a broader set becomes viable. Expressed as a rule, this is a conditional filter: the eligibility of a trade depends not only on the setup itself but on a classification of the prevailing regime.</w:t>
      </w:r>
    </w:p>
    <w:p>
      <w:pPr>
        <w:spacing w:after="140" w:line="300"/>
        <w:jc w:val="both"/>
      </w:pPr>
      <w:r>
        <w:rPr>
          <w:sz w:val="22"/>
          <w:szCs w:val="22"/>
        </w:rPr>
        <w:t xml:space="preserve">There is respectable theoretical support for the general shape of this idea. Lo (2004), in proposing the Adaptive Markets Hypothesis, argued that efficiency and inefficiency coexist and vary over time, that the profitability of investment strategies waxes and wanes with market conditions, competitor entry and exit, and the availability of profit opportunities. Under this framework a strategy that performs well in one environment and poorly in another is not anomalous; it is expected. A filter that suppresses trading in the unfavourable environment should, in principle, improve average performance.</w:t>
      </w:r>
    </w:p>
    <w:p>
      <w:pPr>
        <w:spacing w:after="140" w:line="300"/>
        <w:jc w:val="both"/>
      </w:pPr>
      <w:r>
        <w:rPr>
          <w:sz w:val="22"/>
          <w:szCs w:val="22"/>
        </w:rPr>
        <w:t xml:space="preserve">What does not exist is a controlled test of that principle applied to this specific filter. The practitioner claim is asserted, taught, and followed, but the counterfactual is never run. Nobody appears to have taken the same detection engine, on the same data, and compared a regime-gated version against an ungated version to see whether the gate helps, hurts, or does nothing.</w:t>
      </w:r>
    </w:p>
    <w:p>
      <w:pPr>
        <w:spacing w:after="140" w:line="300"/>
        <w:jc w:val="both"/>
      </w:pPr>
      <w:r>
        <w:rPr>
          <w:sz w:val="22"/>
          <w:szCs w:val="22"/>
        </w:rPr>
        <w:t xml:space="preserve">This is the manipulated variable in the present study, and stating it precisely is what converts a vague methodology into a falsifiable hypothesis. Three arms run over identical historical data: one applying strict filtering on trending days and permissive filtering on ranging days; one applying permissive filtering unconditionally; and one detecting identical setups but assigning direction at random. The first versus the second isolates the value of the regime gate. The first versus the third isolates the value of directional judgement itself. No prior work located during this review performs either comparison for this methodology.</w:t>
      </w:r>
    </w:p>
    <w:p>
      <w:pPr>
        <w:pStyle w:val="Heading1"/>
        <w:spacing w:after="160" w:before="360"/>
      </w:pPr>
      <w:r>
        <w:rPr>
          <w:b/>
          <w:bCs/>
          <w:color w:val="1A1A1A"/>
          <w:sz w:val="27"/>
          <w:szCs w:val="27"/>
        </w:rPr>
        <w:t xml:space="preserve">7.  Why Trading Backtests Usually Mislead, and How This Design Resists It</w:t>
      </w:r>
    </w:p>
    <w:p>
      <w:pPr>
        <w:spacing w:after="140" w:line="300"/>
        <w:jc w:val="both"/>
      </w:pPr>
      <w:r>
        <w:rPr>
          <w:sz w:val="22"/>
          <w:szCs w:val="22"/>
        </w:rPr>
        <w:t xml:space="preserve">A background report that argued only for the interest of the question would be incomplete, because the dominant risk in this field is not asking a bad question but producing a falsely encouraging answer. The literature on backtest overfitting is unambiguous about how easily this happens.</w:t>
      </w:r>
    </w:p>
    <w:p>
      <w:pPr>
        <w:spacing w:after="140" w:line="300"/>
        <w:jc w:val="both"/>
      </w:pPr>
      <w:r>
        <w:rPr>
          <w:sz w:val="22"/>
          <w:szCs w:val="22"/>
        </w:rPr>
        <w:t xml:space="preserve">Bailey, Borwein, López de Prado and Zhu (2014) demonstrated that when a researcher searches over many parameter combinations and reports the best, the resulting performance figure is not an estimate of future performance but an artefact of the search. They showed that standard techniques for preventing regression overfitting are unreliable in the backtesting context, and proposed the probability of backtest overfitting, estimated by combinatorially symmetric cross-validation, as a measure of how badly a reported result is likely to be inflated. Bailey and López de Prado (2014) developed the Deflated Sharpe Ratio to correct performance statistics for selection bias, the number of trials conducted, sample length, and non-normal returns.</w:t>
      </w:r>
    </w:p>
    <w:p>
      <w:pPr>
        <w:spacing w:after="140" w:line="300"/>
        <w:jc w:val="both"/>
      </w:pPr>
      <w:r>
        <w:rPr>
          <w:sz w:val="22"/>
          <w:szCs w:val="22"/>
        </w:rPr>
        <w:t xml:space="preserve">The uncomfortable implication is that most published backtest results — including the great majority of those circulated in retail trading education — should be assumed inflated unless the number of variants tried is disclosed. A strategy tuned until it looks good on a sample is guaranteed to look good on that sample.</w:t>
      </w:r>
    </w:p>
    <w:p>
      <w:pPr>
        <w:pStyle w:val="Heading2"/>
        <w:spacing w:after="120" w:before="260"/>
      </w:pPr>
      <w:r>
        <w:rPr>
          <w:b/>
          <w:bCs/>
          <w:color w:val="333333"/>
          <w:sz w:val="23"/>
          <w:szCs w:val="23"/>
        </w:rPr>
        <w:t xml:space="preserve">7.1  Design decisions taken in response</w:t>
      </w:r>
    </w:p>
    <w:p>
      <w:pPr>
        <w:spacing w:after="140" w:line="300"/>
        <w:jc w:val="both"/>
      </w:pPr>
      <w:r>
        <w:rPr>
          <w:sz w:val="22"/>
          <w:szCs w:val="22"/>
        </w:rPr>
        <w:t xml:space="preserve">Several features of the present study exist specifically to blunt this failure mode, and they should be read as deliberate methodological commitments rather than incidental implementation details.</w:t>
      </w:r>
    </w:p>
    <w:p>
      <w:pPr>
        <w:spacing w:after="100" w:line="290"/>
        <w:ind w:left="720" w:hanging="280"/>
        <w:jc w:val="both"/>
      </w:pPr>
      <w:r>
        <w:rPr>
          <w:sz w:val="22"/>
          <w:szCs w:val="22"/>
        </w:rPr>
        <w:t xml:space="preserve">•   </w:t>
      </w:r>
      <w:r>
        <w:rPr>
          <w:sz w:val="22"/>
          <w:szCs w:val="22"/>
        </w:rPr>
        <w:t xml:space="preserve">Parameters are fixed and recorded before any arm is run, and may not be altered while an arm is in progress. The values are treated as controlled variables, not as things to be optimised against the outcome.</w:t>
      </w:r>
    </w:p>
    <w:p>
      <w:pPr>
        <w:spacing w:after="100" w:line="290"/>
        <w:ind w:left="720" w:hanging="280"/>
        <w:jc w:val="both"/>
      </w:pPr>
      <w:r>
        <w:rPr>
          <w:sz w:val="22"/>
          <w:szCs w:val="22"/>
        </w:rPr>
        <w:t xml:space="preserve">•   </w:t>
      </w:r>
      <w:r>
        <w:rPr>
          <w:sz w:val="22"/>
          <w:szCs w:val="22"/>
        </w:rPr>
        <w:t xml:space="preserve">All three arms replay identical data. Any difference between them is therefore attributable to the manipulated variable rather than to differing market conditions — a confound that would be unavoidable in sequential live testing.</w:t>
      </w:r>
    </w:p>
    <w:p>
      <w:pPr>
        <w:spacing w:after="100" w:line="290"/>
        <w:ind w:left="720" w:hanging="280"/>
        <w:jc w:val="both"/>
      </w:pPr>
      <w:r>
        <w:rPr>
          <w:sz w:val="22"/>
          <w:szCs w:val="22"/>
        </w:rPr>
        <w:t xml:space="preserve">•   </w:t>
      </w:r>
      <w:r>
        <w:rPr>
          <w:sz w:val="22"/>
          <w:szCs w:val="22"/>
        </w:rPr>
        <w:t xml:space="preserve">Where a single price bar spans both the stop and the target, the outcome is recorded as a loss. The order of movement within a bar is unknowable from open-high-low-close data, and assuming the favourable ordering is one of the most common sources of inflated backtest results.</w:t>
      </w:r>
    </w:p>
    <w:p>
      <w:pPr>
        <w:spacing w:after="100" w:line="290"/>
        <w:ind w:left="720" w:hanging="280"/>
        <w:jc w:val="both"/>
      </w:pPr>
      <w:r>
        <w:rPr>
          <w:sz w:val="22"/>
          <w:szCs w:val="22"/>
        </w:rPr>
        <w:t xml:space="preserve">•   </w:t>
      </w:r>
      <w:r>
        <w:rPr>
          <w:sz w:val="22"/>
          <w:szCs w:val="22"/>
        </w:rPr>
        <w:t xml:space="preserve">Costs are modelled explicitly, with one tick of adverse slippage per fill and a commission charge per round turn, rather than assuming frictionless execution.</w:t>
      </w:r>
    </w:p>
    <w:p>
      <w:pPr>
        <w:spacing w:after="100" w:line="290"/>
        <w:ind w:left="720" w:hanging="280"/>
        <w:jc w:val="both"/>
      </w:pPr>
      <w:r>
        <w:rPr>
          <w:sz w:val="22"/>
          <w:szCs w:val="22"/>
        </w:rPr>
        <w:t xml:space="preserve">•   </w:t>
      </w:r>
      <w:r>
        <w:rPr>
          <w:sz w:val="22"/>
          <w:szCs w:val="22"/>
        </w:rPr>
        <w:t xml:space="preserve">Sensitivity analysis — varying the confluence threshold, stop tier, risk fraction and timeout — is performed only after the primary result is recorded, and is reported as a secondary finding. Tuning parameters against the same data that produced the primary result and then presenting the improved figure as the headline is precisely the practice Bailey and López de Prado identify as charlatanism.</w:t>
      </w:r>
    </w:p>
    <w:p>
      <w:pPr>
        <w:spacing w:after="100" w:line="290"/>
        <w:ind w:left="720" w:hanging="280"/>
        <w:jc w:val="both"/>
      </w:pPr>
      <w:r>
        <w:rPr>
          <w:sz w:val="22"/>
          <w:szCs w:val="22"/>
        </w:rPr>
        <w:t xml:space="preserve">•   </w:t>
      </w:r>
      <w:r>
        <w:rPr>
          <w:sz w:val="22"/>
          <w:szCs w:val="22"/>
        </w:rPr>
        <w:t xml:space="preserve">Every decision, including every setup the system declined to trade and the reason for declining it, is logged. The skip log is as much a result as the trade log, because it shows what the filters actually removed.</w:t>
      </w:r>
    </w:p>
    <w:p>
      <w:pPr>
        <w:pStyle w:val="Heading1"/>
        <w:spacing w:after="160" w:before="360"/>
      </w:pPr>
      <w:r>
        <w:rPr>
          <w:b/>
          <w:bCs/>
          <w:color w:val="1A1A1A"/>
          <w:sz w:val="27"/>
          <w:szCs w:val="27"/>
        </w:rPr>
        <w:t xml:space="preserve">8.  Statement of Novelty</w:t>
      </w:r>
    </w:p>
    <w:p>
      <w:pPr>
        <w:spacing w:after="140" w:line="300"/>
        <w:jc w:val="both"/>
      </w:pPr>
      <w:r>
        <w:rPr>
          <w:sz w:val="22"/>
          <w:szCs w:val="22"/>
        </w:rPr>
        <w:t xml:space="preserve">Claims of originality in trading research deserve scepticism, and this project's claim should be stated narrowly enough to survive it. The following table separates what is already established, what has been attempted, and what this study contributes.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shd w:fill="E8E8E8" w:color="auto" w:val="clear"/>
            <w:tcMar>
              <w:top w:type="dxa" w:w="90"/>
              <w:left w:type="dxa" w:w="130"/>
              <w:bottom w:type="dxa" w:w="90"/>
              <w:right w:type="dxa" w:w="130"/>
            </w:tcMar>
          </w:tcPr>
          <w:p>
            <w:r>
              <w:rPr>
                <w:b/>
                <w:bCs/>
                <w:sz w:val="21"/>
                <w:szCs w:val="21"/>
              </w:rPr>
              <w:t xml:space="preserve">Component</w:t>
            </w:r>
          </w:p>
        </w:tc>
        <w:tc>
          <w:tcPr>
            <w:tcW w:type="dxa" w:w="3430"/>
            <w:shd w:fill="E8E8E8" w:color="auto" w:val="clear"/>
            <w:tcMar>
              <w:top w:type="dxa" w:w="90"/>
              <w:left w:type="dxa" w:w="130"/>
              <w:bottom w:type="dxa" w:w="90"/>
              <w:right w:type="dxa" w:w="130"/>
            </w:tcMar>
          </w:tcPr>
          <w:p>
            <w:r>
              <w:rPr>
                <w:b/>
                <w:bCs/>
                <w:sz w:val="21"/>
                <w:szCs w:val="21"/>
              </w:rPr>
              <w:t xml:space="preserve">Status in existing work</w:t>
            </w:r>
          </w:p>
        </w:tc>
        <w:tc>
          <w:tcPr>
            <w:tcW w:type="dxa" w:w="3430"/>
            <w:shd w:fill="E8E8E8" w:color="auto" w:val="clear"/>
            <w:tcMar>
              <w:top w:type="dxa" w:w="90"/>
              <w:left w:type="dxa" w:w="130"/>
              <w:bottom w:type="dxa" w:w="90"/>
              <w:right w:type="dxa" w:w="130"/>
            </w:tcMar>
          </w:tcPr>
          <w:p>
            <w:r>
              <w:rPr>
                <w:b/>
                <w:bCs/>
                <w:sz w:val="21"/>
                <w:szCs w:val="21"/>
              </w:rPr>
              <w:t xml:space="preserve">This study</w:t>
            </w:r>
          </w:p>
        </w:tc>
      </w:tr>
      <w:tr>
        <w:tc>
          <w:tcPr>
            <w:tcW w:type="dxa" w:w="2500"/>
            <w:tcMar>
              <w:top w:type="dxa" w:w="90"/>
              <w:left w:type="dxa" w:w="130"/>
              <w:bottom w:type="dxa" w:w="90"/>
              <w:right w:type="dxa" w:w="130"/>
            </w:tcMar>
          </w:tcPr>
          <w:p>
            <w:r>
              <w:rPr>
                <w:b/>
                <w:bCs/>
                <w:sz w:val="21"/>
                <w:szCs w:val="21"/>
              </w:rPr>
              <w:t xml:space="preserve">Stop-order clustering and its price effects</w:t>
            </w:r>
          </w:p>
        </w:tc>
        <w:tc>
          <w:tcPr>
            <w:tcW w:type="dxa" w:w="3430"/>
            <w:tcMar>
              <w:top w:type="dxa" w:w="90"/>
              <w:left w:type="dxa" w:w="130"/>
              <w:bottom w:type="dxa" w:w="90"/>
              <w:right w:type="dxa" w:w="130"/>
            </w:tcMar>
          </w:tcPr>
          <w:p>
            <w:r>
              <w:rPr>
                <w:b w:val="false"/>
                <w:bCs w:val="false"/>
                <w:sz w:val="21"/>
                <w:szCs w:val="21"/>
              </w:rPr>
              <w:t xml:space="preserve">Established. Osler (2003, 2005) using dealer order data.</w:t>
            </w:r>
          </w:p>
        </w:tc>
        <w:tc>
          <w:tcPr>
            <w:tcW w:type="dxa" w:w="3430"/>
            <w:tcMar>
              <w:top w:type="dxa" w:w="90"/>
              <w:left w:type="dxa" w:w="130"/>
              <w:bottom w:type="dxa" w:w="90"/>
              <w:right w:type="dxa" w:w="130"/>
            </w:tcMar>
          </w:tcPr>
          <w:p>
            <w:r>
              <w:rPr>
                <w:b w:val="false"/>
                <w:bCs w:val="false"/>
                <w:sz w:val="21"/>
                <w:szCs w:val="21"/>
              </w:rPr>
              <w:t xml:space="preserve">Adopted as the theoretical basis. Not re-tested.</w:t>
            </w:r>
          </w:p>
        </w:tc>
      </w:tr>
      <w:tr>
        <w:tc>
          <w:tcPr>
            <w:tcW w:type="dxa" w:w="2500"/>
            <w:tcMar>
              <w:top w:type="dxa" w:w="90"/>
              <w:left w:type="dxa" w:w="130"/>
              <w:bottom w:type="dxa" w:w="90"/>
              <w:right w:type="dxa" w:w="130"/>
            </w:tcMar>
          </w:tcPr>
          <w:p>
            <w:r>
              <w:rPr>
                <w:b/>
                <w:bCs/>
                <w:sz w:val="21"/>
                <w:szCs w:val="21"/>
              </w:rPr>
              <w:t xml:space="preserve">Intraday and session-open seasonality</w:t>
            </w:r>
          </w:p>
        </w:tc>
        <w:tc>
          <w:tcPr>
            <w:tcW w:type="dxa" w:w="3430"/>
            <w:tcMar>
              <w:top w:type="dxa" w:w="90"/>
              <w:left w:type="dxa" w:w="130"/>
              <w:bottom w:type="dxa" w:w="90"/>
              <w:right w:type="dxa" w:w="130"/>
            </w:tcMar>
          </w:tcPr>
          <w:p>
            <w:r>
              <w:rPr>
                <w:b w:val="false"/>
                <w:bCs w:val="false"/>
                <w:sz w:val="21"/>
                <w:szCs w:val="21"/>
              </w:rPr>
              <w:t xml:space="preserve">Established across equities, FX and futures.</w:t>
            </w:r>
          </w:p>
        </w:tc>
        <w:tc>
          <w:tcPr>
            <w:tcW w:type="dxa" w:w="3430"/>
            <w:tcMar>
              <w:top w:type="dxa" w:w="90"/>
              <w:left w:type="dxa" w:w="130"/>
              <w:bottom w:type="dxa" w:w="90"/>
              <w:right w:type="dxa" w:w="130"/>
            </w:tcMar>
          </w:tcPr>
          <w:p>
            <w:r>
              <w:rPr>
                <w:b w:val="false"/>
                <w:bCs w:val="false"/>
                <w:sz w:val="21"/>
                <w:szCs w:val="21"/>
              </w:rPr>
              <w:t xml:space="preserve">Adopted to justify restricting detection to session-open windows.</w:t>
            </w:r>
          </w:p>
        </w:tc>
      </w:tr>
      <w:tr>
        <w:tc>
          <w:tcPr>
            <w:tcW w:type="dxa" w:w="2500"/>
            <w:tcMar>
              <w:top w:type="dxa" w:w="90"/>
              <w:left w:type="dxa" w:w="130"/>
              <w:bottom w:type="dxa" w:w="90"/>
              <w:right w:type="dxa" w:w="130"/>
            </w:tcMar>
          </w:tcPr>
          <w:p>
            <w:r>
              <w:rPr>
                <w:b/>
                <w:bCs/>
                <w:sz w:val="21"/>
                <w:szCs w:val="21"/>
              </w:rPr>
              <w:t xml:space="preserve">Regime-conditional strategy performance</w:t>
            </w:r>
          </w:p>
        </w:tc>
        <w:tc>
          <w:tcPr>
            <w:tcW w:type="dxa" w:w="3430"/>
            <w:tcMar>
              <w:top w:type="dxa" w:w="90"/>
              <w:left w:type="dxa" w:w="130"/>
              <w:bottom w:type="dxa" w:w="90"/>
              <w:right w:type="dxa" w:w="130"/>
            </w:tcMar>
          </w:tcPr>
          <w:p>
            <w:r>
              <w:rPr>
                <w:b w:val="false"/>
                <w:bCs w:val="false"/>
                <w:sz w:val="21"/>
                <w:szCs w:val="21"/>
              </w:rPr>
              <w:t xml:space="preserve">Theoretically supported by Lo (2004); widely asserted by practitioners.</w:t>
            </w:r>
          </w:p>
        </w:tc>
        <w:tc>
          <w:tcPr>
            <w:tcW w:type="dxa" w:w="3430"/>
            <w:tcMar>
              <w:top w:type="dxa" w:w="90"/>
              <w:left w:type="dxa" w:w="130"/>
              <w:bottom w:type="dxa" w:w="90"/>
              <w:right w:type="dxa" w:w="130"/>
            </w:tcMar>
          </w:tcPr>
          <w:p>
            <w:r>
              <w:rPr>
                <w:b w:val="false"/>
                <w:bCs w:val="false"/>
                <w:sz w:val="21"/>
                <w:szCs w:val="21"/>
              </w:rPr>
              <w:t xml:space="preserve">Tested directly as the manipulated variable.</w:t>
            </w:r>
          </w:p>
        </w:tc>
      </w:tr>
      <w:tr>
        <w:tc>
          <w:tcPr>
            <w:tcW w:type="dxa" w:w="2500"/>
            <w:tcMar>
              <w:top w:type="dxa" w:w="90"/>
              <w:left w:type="dxa" w:w="130"/>
              <w:bottom w:type="dxa" w:w="90"/>
              <w:right w:type="dxa" w:w="130"/>
            </w:tcMar>
          </w:tcPr>
          <w:p>
            <w:r>
              <w:rPr>
                <w:b/>
                <w:bCs/>
                <w:sz w:val="21"/>
                <w:szCs w:val="21"/>
              </w:rPr>
              <w:t xml:space="preserve">Mechanical codification of SMC/ICT rules</w:t>
            </w:r>
          </w:p>
        </w:tc>
        <w:tc>
          <w:tcPr>
            <w:tcW w:type="dxa" w:w="3430"/>
            <w:tcMar>
              <w:top w:type="dxa" w:w="90"/>
              <w:left w:type="dxa" w:w="130"/>
              <w:bottom w:type="dxa" w:w="90"/>
              <w:right w:type="dxa" w:w="130"/>
            </w:tcMar>
          </w:tcPr>
          <w:p>
            <w:r>
              <w:rPr>
                <w:b w:val="false"/>
                <w:bCs w:val="false"/>
                <w:sz w:val="21"/>
                <w:szCs w:val="21"/>
              </w:rPr>
              <w:t xml:space="preserve">Attempted in independent practitioner research; absent from peer review.</w:t>
            </w:r>
          </w:p>
        </w:tc>
        <w:tc>
          <w:tcPr>
            <w:tcW w:type="dxa" w:w="3430"/>
            <w:tcMar>
              <w:top w:type="dxa" w:w="90"/>
              <w:left w:type="dxa" w:w="130"/>
              <w:bottom w:type="dxa" w:w="90"/>
              <w:right w:type="dxa" w:w="130"/>
            </w:tcMar>
          </w:tcPr>
          <w:p>
            <w:r>
              <w:rPr>
                <w:b w:val="false"/>
                <w:bCs w:val="false"/>
                <w:sz w:val="21"/>
                <w:szCs w:val="21"/>
              </w:rPr>
              <w:t xml:space="preserve">Implemented as open, inspectable, unit-tested source code.</w:t>
            </w:r>
          </w:p>
        </w:tc>
      </w:tr>
      <w:tr>
        <w:tc>
          <w:tcPr>
            <w:tcW w:type="dxa" w:w="2500"/>
            <w:tcMar>
              <w:top w:type="dxa" w:w="90"/>
              <w:left w:type="dxa" w:w="130"/>
              <w:bottom w:type="dxa" w:w="90"/>
              <w:right w:type="dxa" w:w="130"/>
            </w:tcMar>
          </w:tcPr>
          <w:p>
            <w:r>
              <w:rPr>
                <w:b/>
                <w:bCs/>
                <w:sz w:val="21"/>
                <w:szCs w:val="21"/>
              </w:rPr>
              <w:t xml:space="preserve">Profitability of SMC/ICT rules</w:t>
            </w:r>
          </w:p>
        </w:tc>
        <w:tc>
          <w:tcPr>
            <w:tcW w:type="dxa" w:w="3430"/>
            <w:tcMar>
              <w:top w:type="dxa" w:w="90"/>
              <w:left w:type="dxa" w:w="130"/>
              <w:bottom w:type="dxa" w:w="90"/>
              <w:right w:type="dxa" w:w="130"/>
            </w:tcMar>
          </w:tcPr>
          <w:p>
            <w:r>
              <w:rPr>
                <w:b w:val="false"/>
                <w:bCs w:val="false"/>
                <w:sz w:val="21"/>
                <w:szCs w:val="21"/>
              </w:rPr>
              <w:t xml:space="preserve">One rigorous public test on SPY found no significant edge.</w:t>
            </w:r>
          </w:p>
        </w:tc>
        <w:tc>
          <w:tcPr>
            <w:tcW w:type="dxa" w:w="3430"/>
            <w:tcMar>
              <w:top w:type="dxa" w:w="90"/>
              <w:left w:type="dxa" w:w="130"/>
              <w:bottom w:type="dxa" w:w="90"/>
              <w:right w:type="dxa" w:w="130"/>
            </w:tcMar>
          </w:tcPr>
          <w:p>
            <w:r>
              <w:rPr>
                <w:b w:val="false"/>
                <w:bCs w:val="false"/>
                <w:sz w:val="21"/>
                <w:szCs w:val="21"/>
              </w:rPr>
              <w:t xml:space="preserve">Re-examined on futures with explicit cost modelling.</w:t>
            </w:r>
          </w:p>
        </w:tc>
      </w:tr>
      <w:tr>
        <w:tc>
          <w:tcPr>
            <w:tcW w:type="dxa" w:w="2500"/>
            <w:tcMar>
              <w:top w:type="dxa" w:w="90"/>
              <w:left w:type="dxa" w:w="130"/>
              <w:bottom w:type="dxa" w:w="90"/>
              <w:right w:type="dxa" w:w="130"/>
            </w:tcMar>
          </w:tcPr>
          <w:p>
            <w:r>
              <w:rPr>
                <w:b/>
                <w:bCs/>
                <w:sz w:val="21"/>
                <w:szCs w:val="21"/>
              </w:rPr>
              <w:t xml:space="preserve">Direction-randomised control arm</w:t>
            </w:r>
          </w:p>
        </w:tc>
        <w:tc>
          <w:tcPr>
            <w:tcW w:type="dxa" w:w="3430"/>
            <w:tcMar>
              <w:top w:type="dxa" w:w="90"/>
              <w:left w:type="dxa" w:w="130"/>
              <w:bottom w:type="dxa" w:w="90"/>
              <w:right w:type="dxa" w:w="130"/>
            </w:tcMar>
          </w:tcPr>
          <w:p>
            <w:r>
              <w:rPr>
                <w:b w:val="false"/>
                <w:bCs w:val="false"/>
                <w:sz w:val="21"/>
                <w:szCs w:val="21"/>
              </w:rPr>
              <w:t xml:space="preserve">Not located in any prior test of this methodology.</w:t>
            </w:r>
          </w:p>
        </w:tc>
        <w:tc>
          <w:tcPr>
            <w:tcW w:type="dxa" w:w="3430"/>
            <w:tcMar>
              <w:top w:type="dxa" w:w="90"/>
              <w:left w:type="dxa" w:w="130"/>
              <w:bottom w:type="dxa" w:w="90"/>
              <w:right w:type="dxa" w:w="130"/>
            </w:tcMar>
          </w:tcPr>
          <w:p>
            <w:r>
              <w:rPr>
                <w:b w:val="false"/>
                <w:bCs w:val="false"/>
                <w:sz w:val="21"/>
                <w:szCs w:val="21"/>
              </w:rPr>
              <w:t xml:space="preserve">Included as a required experimental arm.</w:t>
            </w:r>
          </w:p>
        </w:tc>
      </w:tr>
      <w:tr>
        <w:tc>
          <w:tcPr>
            <w:tcW w:type="dxa" w:w="2500"/>
            <w:tcMar>
              <w:top w:type="dxa" w:w="90"/>
              <w:left w:type="dxa" w:w="130"/>
              <w:bottom w:type="dxa" w:w="90"/>
              <w:right w:type="dxa" w:w="130"/>
            </w:tcMar>
          </w:tcPr>
          <w:p>
            <w:r>
              <w:rPr>
                <w:b/>
                <w:bCs/>
                <w:sz w:val="21"/>
                <w:szCs w:val="21"/>
              </w:rPr>
              <w:t xml:space="preserve">Regime-gated vs. ungated comparison</w:t>
            </w:r>
          </w:p>
        </w:tc>
        <w:tc>
          <w:tcPr>
            <w:tcW w:type="dxa" w:w="3430"/>
            <w:tcMar>
              <w:top w:type="dxa" w:w="90"/>
              <w:left w:type="dxa" w:w="130"/>
              <w:bottom w:type="dxa" w:w="90"/>
              <w:right w:type="dxa" w:w="130"/>
            </w:tcMar>
          </w:tcPr>
          <w:p>
            <w:r>
              <w:rPr>
                <w:b w:val="false"/>
                <w:bCs w:val="false"/>
                <w:sz w:val="21"/>
                <w:szCs w:val="21"/>
              </w:rPr>
              <w:t xml:space="preserve">Not located in any prior work.</w:t>
            </w:r>
          </w:p>
        </w:tc>
        <w:tc>
          <w:tcPr>
            <w:tcW w:type="dxa" w:w="3430"/>
            <w:tcMar>
              <w:top w:type="dxa" w:w="90"/>
              <w:left w:type="dxa" w:w="130"/>
              <w:bottom w:type="dxa" w:w="90"/>
              <w:right w:type="dxa" w:w="130"/>
            </w:tcMar>
          </w:tcPr>
          <w:p>
            <w:r>
              <w:rPr>
                <w:b w:val="false"/>
                <w:bCs w:val="false"/>
                <w:sz w:val="21"/>
                <w:szCs w:val="21"/>
              </w:rPr>
              <w:t xml:space="preserve">The primary comparison of the study.</w:t>
            </w:r>
          </w:p>
        </w:tc>
      </w:tr>
    </w:tbl>
    <w:p>
      <w:pPr>
        <w:spacing w:after="140" w:line="300"/>
        <w:jc w:val="both"/>
      </w:pPr>
      <w:r>
        <w:rPr>
          <w:b w:val="false"/>
          <w:bCs w:val="false"/>
          <w:sz w:val="22"/>
          <w:szCs w:val="22"/>
        </w:rPr>
        <w:t xml:space="preserve">The novel contribution is therefore not the strategy, the mechanism, or the idea that regimes matter. It is the experimental apparatus: a controlled, three-arm, direction-randomised evaluation of a widely-taught but essentially untested methodology, run over identical data with pre-committed parameters and full decision logging.</w:t>
      </w:r>
    </w:p>
    <w:p>
      <w:pPr>
        <w:spacing w:after="140" w:line="300"/>
        <w:jc w:val="both"/>
      </w:pPr>
      <w:r>
        <w:rPr>
          <w:sz w:val="22"/>
          <w:szCs w:val="22"/>
        </w:rPr>
        <w:t xml:space="preserve">Two boundaries on that claim should be stated plainly. First, absence of evidence in a literature search is not proof that no such study exists; it is possible that proprietary work of this kind has been conducted privately and never published, which is common in this industry. Second, the claim is one of methodological novelty rather than conceptual novelty — controlled experiments with randomised control arms are entirely standard in other empirical fields, and the contribution here is applying that ordinary standard to a domain that has largely escaped it.</w:t>
      </w:r>
    </w:p>
    <w:p>
      <w:pPr>
        <w:pStyle w:val="Heading1"/>
        <w:spacing w:after="160" w:before="360"/>
      </w:pPr>
      <w:r>
        <w:rPr>
          <w:b/>
          <w:bCs/>
          <w:color w:val="1A1A1A"/>
          <w:sz w:val="27"/>
          <w:szCs w:val="27"/>
        </w:rPr>
        <w:t xml:space="preserve">9.  Why the Result Matters Either Way</w:t>
      </w:r>
    </w:p>
    <w:p>
      <w:pPr>
        <w:spacing w:after="140" w:line="300"/>
        <w:jc w:val="both"/>
      </w:pPr>
      <w:r>
        <w:rPr>
          <w:sz w:val="22"/>
          <w:szCs w:val="22"/>
        </w:rPr>
        <w:t xml:space="preserve">A study designed only to confirm a hoped-for conclusion is not a study. It is worth setting out in advance why each possible outcome is informative, since this is what distinguishes an experiment from a demonstration.</w:t>
      </w:r>
    </w:p>
    <w:p>
      <w:pPr>
        <w:spacing w:after="140" w:line="300"/>
        <w:jc w:val="both"/>
      </w:pPr>
      <w:r>
        <w:rPr>
          <w:sz w:val="22"/>
          <w:szCs w:val="22"/>
        </w:rPr>
        <w:t xml:space="preserve">If the regime-gated arm significantly outperforms both the ungated arm and the randomised control, the study provides the first controlled evidence that this widely-taught filter does what its proponents claim, and identifies a specific, reproducible rule for further examination.</w:t>
      </w:r>
    </w:p>
    <w:p>
      <w:pPr>
        <w:spacing w:after="140" w:line="300"/>
        <w:jc w:val="both"/>
      </w:pPr>
      <w:r>
        <w:rPr>
          <w:sz w:val="22"/>
          <w:szCs w:val="22"/>
        </w:rPr>
        <w:t xml:space="preserve">If the regime-gated arm outperforms the randomised control but not the ungated arm, the conclusion is that directional judgement carries information while the regime filter does not — a more interesting and more useful finding than either component alone, and one that would contradict a very widely repeated piece of trading advice.</w:t>
      </w:r>
    </w:p>
    <w:p>
      <w:pPr>
        <w:spacing w:after="140" w:line="300"/>
        <w:jc w:val="both"/>
      </w:pPr>
      <w:r>
        <w:rPr>
          <w:sz w:val="22"/>
          <w:szCs w:val="22"/>
        </w:rPr>
        <w:t xml:space="preserve">If neither active arm separates from the randomised control, the conclusion is that the methodology's directional claims carry no measurable information on this instrument over this period, and that any profit or loss observed is a product of position sizing and exit rules rather than market insight. Given the scale at which this methodology is taught and sold, a well-controlled null result is arguably the most valuable of the three outcomes, and it is one that practitioner research has limited incentive to produce.</w:t>
      </w:r>
    </w:p>
    <w:p>
      <w:pPr>
        <w:spacing w:after="140" w:line="300"/>
        <w:jc w:val="both"/>
      </w:pPr>
      <w:r>
        <w:rPr>
          <w:sz w:val="22"/>
          <w:szCs w:val="22"/>
        </w:rPr>
        <w:t xml:space="preserve">The wider point is about standards rather than about this strategy. An entire educational industry rests on claims about market structure that are rarely tested against a baseline. Demonstrating that such claims can be tested — cheaply, reproducibly, and without risking capital — is a contribution independent of what the numbers turn out to say.</w:t>
      </w:r>
    </w:p>
    <w:p>
      <w:pPr>
        <w:pStyle w:val="Heading1"/>
        <w:spacing w:after="160" w:before="360"/>
      </w:pPr>
      <w:r>
        <w:rPr>
          <w:b/>
          <w:bCs/>
          <w:color w:val="1A1A1A"/>
          <w:sz w:val="27"/>
          <w:szCs w:val="27"/>
        </w:rPr>
        <w:t xml:space="preserve">10.  Summary of the Background</w:t>
      </w:r>
    </w:p>
    <w:p>
      <w:pPr>
        <w:spacing w:after="140" w:line="300"/>
        <w:jc w:val="both"/>
      </w:pPr>
      <w:r>
        <w:rPr>
          <w:sz w:val="22"/>
          <w:szCs w:val="22"/>
        </w:rPr>
        <w:t xml:space="preserve">The mechanism this system targets is real and documented: orders cluster at predictable prices, and moves through those clusters have distinctive dynamics. The timing the system exploits is real and documented: session opens concentrate participation and information. The methodology built on these facts is specific enough to be written as code and therefore to be tested. And yet, despite being taught to an audience of millions, that methodology has never been evaluated against a control.</w:t>
      </w:r>
    </w:p>
    <w:p>
      <w:pPr>
        <w:spacing w:after="140" w:line="300"/>
        <w:jc w:val="both"/>
      </w:pPr>
      <w:r>
        <w:rPr>
          <w:sz w:val="22"/>
          <w:szCs w:val="22"/>
        </w:rPr>
        <w:t xml:space="preserve">The gap is not in the theory. It is in the testing. This project closes a narrow, well-defined portion of that gap by building the system as inspectable software, running it over a fixed historical sample, and comparing it against both an ungated variant and a direction-randomised control under identical conditions. The design is arranged so that the honest answer, including an unfavourable one, is the answer it will produce.</w:t>
      </w:r>
    </w:p>
    <w:p>
      <w:pPr>
        <w:pStyle w:val="Heading1"/>
        <w:spacing w:after="160" w:before="360"/>
      </w:pPr>
      <w:r>
        <w:rPr>
          <w:b/>
          <w:bCs/>
          <w:color w:val="1A1A1A"/>
          <w:sz w:val="27"/>
          <w:szCs w:val="27"/>
        </w:rPr>
        <w:t xml:space="preserve">References</w:t>
      </w:r>
    </w:p>
    <w:p>
      <w:pPr>
        <w:spacing w:after="120" w:line="290"/>
        <w:ind w:left="720" w:hanging="720"/>
      </w:pPr>
      <w:r>
        <w:rPr>
          <w:sz w:val="21"/>
          <w:szCs w:val="21"/>
        </w:rPr>
        <w:t xml:space="preserve">Bailey, D. H., Borwein, J. M., López de Prado, M., &amp; Zhu, Q. J. (2014). Pseudo-Mathematics and Financial Charlatanism: The Effects of Backtest Overfitting on Out-of-Sample Performance. Notices of the American Mathematical Society, 61(5), 458–471.</w:t>
      </w:r>
    </w:p>
    <w:p>
      <w:pPr>
        <w:spacing w:after="120" w:line="290"/>
        <w:ind w:left="720" w:hanging="720"/>
      </w:pPr>
      <w:r>
        <w:rPr>
          <w:sz w:val="21"/>
          <w:szCs w:val="21"/>
        </w:rPr>
        <w:t xml:space="preserve">Bailey, D. H., &amp; López de Prado, M. (2014). The Deflated Sharpe Ratio: Correcting for Selection Bias, Backtest Overfitting, and Non-Normality. The Journal of Portfolio Management, 40(5), 94–107.</w:t>
      </w:r>
    </w:p>
    <w:p>
      <w:pPr>
        <w:spacing w:after="120" w:line="290"/>
        <w:ind w:left="720" w:hanging="720"/>
      </w:pPr>
      <w:r>
        <w:rPr>
          <w:sz w:val="21"/>
          <w:szCs w:val="21"/>
        </w:rPr>
        <w:t xml:space="preserve">Bollerslev, T., Cai, J., &amp; Song, F. M. (2000). Intraday periodicity, long memory volatility, and macroeconomic announcement effects in the US Treasury bond market. Journal of Empirical Finance, 7(1), 37–55.</w:t>
      </w:r>
    </w:p>
    <w:p>
      <w:pPr>
        <w:spacing w:after="120" w:line="290"/>
        <w:ind w:left="720" w:hanging="720"/>
      </w:pPr>
      <w:r>
        <w:rPr>
          <w:sz w:val="21"/>
          <w:szCs w:val="21"/>
        </w:rPr>
        <w:t xml:space="preserve">Lo, A. W. (2004). The Adaptive Markets Hypothesis: Market Efficiency from an Evolutionary Perspective. The Journal of Portfolio Management, 30(5), 15–29.</w:t>
      </w:r>
    </w:p>
    <w:p>
      <w:pPr>
        <w:spacing w:after="120" w:line="290"/>
        <w:ind w:left="720" w:hanging="720"/>
      </w:pPr>
      <w:r>
        <w:rPr>
          <w:sz w:val="21"/>
          <w:szCs w:val="21"/>
        </w:rPr>
        <w:t xml:space="preserve">Osler, C. L. (2003). Currency Orders and Exchange Rate Dynamics: An Explanation for the Predictive Success of Technical Analysis. The Journal of Finance, 58(5), 1791–1819.</w:t>
      </w:r>
    </w:p>
    <w:p>
      <w:pPr>
        <w:spacing w:after="120" w:line="290"/>
        <w:ind w:left="720" w:hanging="720"/>
      </w:pPr>
      <w:r>
        <w:rPr>
          <w:sz w:val="21"/>
          <w:szCs w:val="21"/>
        </w:rPr>
        <w:t xml:space="preserve">Osler, C. L. (2005). Stop-loss orders and price cascades in currency markets. Journal of International Money and Finance, 24(2), 219–241.</w:t>
      </w:r>
    </w:p>
    <w:p>
      <w:pPr>
        <w:spacing w:after="140" w:line="300"/>
        <w:jc w:val="both"/>
      </w:pPr>
      <w:r>
        <w:rPr>
          <w:i/>
          <w:iCs/>
          <w:sz w:val="22"/>
          <w:szCs w:val="22"/>
        </w:rPr>
        <w:t xml:space="preserve">Note on sources: the independent practitioner backtest of ICT concepts discussed in Section 5 is non-peer-reviewed online research and is cited as such. Bibliographic details above should be verified against the original articles before final submission.</w:t>
      </w:r>
    </w:p>
    <w:sectPr>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2026-09-06T20:40:41.823Z</dcterms:created>
  <dcterms:modified xsi:type="dcterms:W3CDTF">2026-09-06T20:40:41.840Z</dcterms:modified>
</cp:coreProperties>
</file>

<file path=docProps/custom.xml><?xml version="1.0" encoding="utf-8"?>
<Properties xmlns="http://schemas.openxmlformats.org/officeDocument/2006/custom-properties" xmlns:vt="http://schemas.openxmlformats.org/officeDocument/2006/docPropsVTypes"/>
</file>