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66666"/>
          <w:sz w:val="20"/>
          <w:szCs w:val="20"/>
        </w:rPr>
        <w:t xml:space="preserve">Science Fair Project Submission</w:t>
      </w:r>
    </w:p>
    <w:p>
      <w:pPr>
        <w:spacing w:after="40"/>
        <w:jc w:val="center"/>
      </w:pPr>
      <w:r>
        <w:rPr>
          <w:color w:val="888888"/>
          <w:sz w:val="19"/>
          <w:szCs w:val="19"/>
        </w:rPr>
        <w:t xml:space="preserve">Cambridge AS &amp; A Level — Global Perspectives</w:t>
      </w:r>
    </w:p>
    <w:p>
      <w:pPr>
        <w:pBdr>
          <w:bottom w:val="single" w:color="BBBBBB" w:sz="6"/>
        </w:pBdr>
        <w:spacing w:after="200" w:before="60"/>
      </w:pPr>
      <w:r>
        <w:rPr>
          <w:sz w:val="2"/>
          <w:szCs w:val="2"/>
        </w:rPr>
        <w:t xml:space="preserve"/>
      </w:r>
    </w:p>
    <w:p>
      <w:pPr>
        <w:pStyle w:val="Heading1"/>
        <w:spacing w:after="160" w:before="320"/>
      </w:pPr>
      <w:r>
        <w:rPr>
          <w:b/>
          <w:bCs/>
          <w:color w:val="1A1A1A"/>
          <w:sz w:val="28"/>
          <w:szCs w:val="28"/>
        </w:rPr>
        <w:t xml:space="preserve">Title</w:t>
      </w:r>
    </w:p>
    <w:p>
      <w:pPr>
        <w:spacing w:after="160" w:line="276"/>
      </w:pPr>
      <w:r>
        <w:rPr>
          <w:b/>
          <w:bCs/>
          <w:sz w:val="24"/>
          <w:szCs w:val="24"/>
        </w:rPr>
        <w:t xml:space="preserve">Regime-Gated Reversal Trading: Does Filtering Trade Eligibility by Higher-Timeframe Market Regime Improve the Per-Trade Expectancy of an Autonomous Algorithmic Trading System?</w:t>
      </w:r>
    </w:p>
    <w:p>
      <w:pPr>
        <w:pStyle w:val="Heading1"/>
        <w:spacing w:after="160" w:before="320"/>
      </w:pPr>
      <w:r>
        <w:rPr>
          <w:b/>
          <w:bCs/>
          <w:color w:val="1A1A1A"/>
          <w:sz w:val="28"/>
          <w:szCs w:val="28"/>
        </w:rPr>
        <w:t xml:space="preserve">Research Question</w:t>
      </w:r>
    </w:p>
    <w:p>
      <w:pPr>
        <w:spacing w:after="120" w:line="276"/>
      </w:pPr>
      <w:r>
        <w:rPr>
          <w:sz w:val="22"/>
          <w:szCs w:val="22"/>
        </w:rPr>
        <w:t xml:space="preserve">Does a fully autonomous, rule-based reversal trading system that filters its own trade eligibility according to the prevailing higher-timeframe market regime produce a mean return per trade significantly greater than a control system that uses identical position sizing, stop placement, and exit rules but selects its trade direction at random?</w:t>
      </w:r>
    </w:p>
    <w:p>
      <w:pPr>
        <w:pStyle w:val="Heading1"/>
        <w:spacing w:after="160" w:before="320"/>
      </w:pPr>
      <w:r>
        <w:rPr>
          <w:b/>
          <w:bCs/>
          <w:color w:val="1A1A1A"/>
          <w:sz w:val="28"/>
          <w:szCs w:val="28"/>
        </w:rPr>
        <w:t xml:space="preserve">Hypothesis</w:t>
      </w:r>
    </w:p>
    <w:p>
      <w:pPr>
        <w:spacing w:after="120" w:line="276"/>
      </w:pPr>
      <w:r>
        <w:rPr>
          <w:sz w:val="22"/>
          <w:szCs w:val="22"/>
        </w:rPr>
        <w:t xml:space="preserve">If trade eligibility is filtered by higher-timeframe regime classification — applying strict “A+ only” filtering on trending days and permissive “full” filtering on ranging days — then the system will produce a mean return per trade significantly greater than zero and significantly greater than that of a direction-randomised control at a significance level of 0.05. The reasoning is that price movements which occur at a session open and run counter to the higher-timeframe trend represent liquidity sweeps, which reverse more often than they continue.</w:t>
      </w:r>
    </w:p>
    <w:p>
      <w:pPr>
        <w:pStyle w:val="Heading1"/>
        <w:spacing w:after="160" w:before="320"/>
      </w:pPr>
      <w:r>
        <w:rPr>
          <w:b/>
          <w:bCs/>
          <w:color w:val="1A1A1A"/>
          <w:sz w:val="28"/>
          <w:szCs w:val="28"/>
        </w:rPr>
        <w:t xml:space="preserve">Variables</w:t>
      </w:r>
    </w:p>
    <w:p>
      <w:pPr>
        <w:pStyle w:val="Heading2"/>
        <w:spacing w:after="120" w:before="240"/>
      </w:pPr>
      <w:r>
        <w:rPr>
          <w:b/>
          <w:bCs/>
          <w:color w:val="333333"/>
          <w:sz w:val="24"/>
          <w:szCs w:val="24"/>
        </w:rPr>
        <w:t xml:space="preserve">Independent Variable</w:t>
      </w:r>
    </w:p>
    <w:p>
      <w:pPr>
        <w:spacing w:after="120" w:line="276"/>
      </w:pPr>
      <w:r>
        <w:rPr>
          <w:sz w:val="22"/>
          <w:szCs w:val="22"/>
        </w:rPr>
        <w:t xml:space="preserve">The trade-eligibility filtering mode, manipulated across three levels, each run as a separate experimental arm over the same historical data:</w:t>
      </w:r>
    </w:p>
    <w:p>
      <w:pPr>
        <w:spacing w:after="80" w:line="276"/>
        <w:ind w:left="720" w:hanging="260"/>
      </w:pPr>
      <w:r>
        <w:rPr>
          <w:sz w:val="22"/>
          <w:szCs w:val="22"/>
        </w:rPr>
        <w:t xml:space="preserve">— </w:t>
      </w:r>
      <w:r>
        <w:rPr>
          <w:sz w:val="22"/>
          <w:szCs w:val="22"/>
        </w:rPr>
        <w:t xml:space="preserve">Arm 1 — Regime-gated: strict filtering on trending days, permissive filtering on ranging days.</w:t>
      </w:r>
    </w:p>
    <w:p>
      <w:pPr>
        <w:spacing w:after="80" w:line="276"/>
        <w:ind w:left="720" w:hanging="260"/>
      </w:pPr>
      <w:r>
        <w:rPr>
          <w:sz w:val="22"/>
          <w:szCs w:val="22"/>
        </w:rPr>
        <w:t xml:space="preserve">— </w:t>
      </w:r>
      <w:r>
        <w:rPr>
          <w:sz w:val="22"/>
          <w:szCs w:val="22"/>
        </w:rPr>
        <w:t xml:space="preserve">Arm 2 — Permissive: no regime filter; all levels are eligible on every day.</w:t>
      </w:r>
    </w:p>
    <w:p>
      <w:pPr>
        <w:spacing w:after="80" w:line="276"/>
        <w:ind w:left="720" w:hanging="260"/>
      </w:pPr>
      <w:r>
        <w:rPr>
          <w:sz w:val="22"/>
          <w:szCs w:val="22"/>
        </w:rPr>
        <w:t xml:space="preserve">— </w:t>
      </w:r>
      <w:r>
        <w:rPr>
          <w:sz w:val="22"/>
          <w:szCs w:val="22"/>
        </w:rPr>
        <w:t xml:space="preserve">Arm 3 — Random control: identical setups are detected, but entry direction is assigned by a seeded pseudorandom coin flip.</w:t>
      </w:r>
    </w:p>
    <w:p>
      <w:pPr>
        <w:pStyle w:val="Heading2"/>
        <w:spacing w:after="120" w:before="240"/>
      </w:pPr>
      <w:r>
        <w:rPr>
          <w:b/>
          <w:bCs/>
          <w:color w:val="333333"/>
          <w:sz w:val="24"/>
          <w:szCs w:val="24"/>
        </w:rPr>
        <w:t xml:space="preserve">Dependent Variables</w:t>
      </w:r>
    </w:p>
    <w:p>
      <w:pPr>
        <w:spacing w:after="120" w:line="276"/>
      </w:pPr>
      <w:r>
        <w:rPr>
          <w:sz w:val="22"/>
          <w:szCs w:val="22"/>
        </w:rPr>
        <w:t xml:space="preserve">The measured outcomes, recorded for every completed trade and aggregated per 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8E8E8" w:color="auto" w:val="clear"/>
            <w:tcMar>
              <w:top w:type="dxa" w:w="80"/>
              <w:left w:type="dxa" w:w="120"/>
              <w:bottom w:type="dxa" w:w="80"/>
              <w:right w:type="dxa" w:w="120"/>
            </w:tcMar>
          </w:tcPr>
          <w:p>
            <w:r>
              <w:rPr>
                <w:b/>
                <w:bCs/>
                <w:sz w:val="21"/>
                <w:szCs w:val="21"/>
              </w:rPr>
              <w:t xml:space="preserve">Variable</w:t>
            </w:r>
          </w:p>
        </w:tc>
        <w:tc>
          <w:tcPr>
            <w:tcW w:type="dxa" w:w="6960"/>
            <w:shd w:fill="E8E8E8" w:color="auto" w:val="clear"/>
            <w:tcMar>
              <w:top w:type="dxa" w:w="80"/>
              <w:left w:type="dxa" w:w="120"/>
              <w:bottom w:type="dxa" w:w="80"/>
              <w:right w:type="dxa" w:w="120"/>
            </w:tcMar>
          </w:tcPr>
          <w:p>
            <w:r>
              <w:rPr>
                <w:b/>
                <w:bCs/>
                <w:sz w:val="21"/>
                <w:szCs w:val="21"/>
              </w:rPr>
              <w:t xml:space="preserve">Definition and unit of measurement</w:t>
            </w:r>
          </w:p>
        </w:tc>
      </w:tr>
      <w:tr>
        <w:tc>
          <w:tcPr>
            <w:tcW w:type="dxa" w:w="2400"/>
            <w:tcMar>
              <w:top w:type="dxa" w:w="80"/>
              <w:left w:type="dxa" w:w="120"/>
              <w:bottom w:type="dxa" w:w="80"/>
              <w:right w:type="dxa" w:w="120"/>
            </w:tcMar>
          </w:tcPr>
          <w:p>
            <w:r>
              <w:rPr>
                <w:b/>
                <w:bCs/>
                <w:sz w:val="21"/>
                <w:szCs w:val="21"/>
              </w:rPr>
              <w:t xml:space="preserve">Return per trade</w:t>
            </w:r>
          </w:p>
        </w:tc>
        <w:tc>
          <w:tcPr>
            <w:tcW w:type="dxa" w:w="6960"/>
            <w:tcMar>
              <w:top w:type="dxa" w:w="80"/>
              <w:left w:type="dxa" w:w="120"/>
              <w:bottom w:type="dxa" w:w="80"/>
              <w:right w:type="dxa" w:w="120"/>
            </w:tcMar>
          </w:tcPr>
          <w:p>
            <w:r>
              <w:rPr>
                <w:b w:val="false"/>
                <w:bCs w:val="false"/>
                <w:sz w:val="21"/>
                <w:szCs w:val="21"/>
              </w:rPr>
              <w:t xml:space="preserve">Profit or loss expressed in R-multiples, where 1R equals the amount risked on that trade</w:t>
            </w:r>
          </w:p>
        </w:tc>
      </w:tr>
      <w:tr>
        <w:tc>
          <w:tcPr>
            <w:tcW w:type="dxa" w:w="2400"/>
            <w:tcMar>
              <w:top w:type="dxa" w:w="80"/>
              <w:left w:type="dxa" w:w="120"/>
              <w:bottom w:type="dxa" w:w="80"/>
              <w:right w:type="dxa" w:w="120"/>
            </w:tcMar>
          </w:tcPr>
          <w:p>
            <w:r>
              <w:rPr>
                <w:b/>
                <w:bCs/>
                <w:sz w:val="21"/>
                <w:szCs w:val="21"/>
              </w:rPr>
              <w:t xml:space="preserve">Win rate</w:t>
            </w:r>
          </w:p>
        </w:tc>
        <w:tc>
          <w:tcPr>
            <w:tcW w:type="dxa" w:w="6960"/>
            <w:tcMar>
              <w:top w:type="dxa" w:w="80"/>
              <w:left w:type="dxa" w:w="120"/>
              <w:bottom w:type="dxa" w:w="80"/>
              <w:right w:type="dxa" w:w="120"/>
            </w:tcMar>
          </w:tcPr>
          <w:p>
            <w:r>
              <w:rPr>
                <w:b w:val="false"/>
                <w:bCs w:val="false"/>
                <w:sz w:val="21"/>
                <w:szCs w:val="21"/>
              </w:rPr>
              <w:t xml:space="preserve">Percentage of completed trades closed at the profit target</w:t>
            </w:r>
          </w:p>
        </w:tc>
      </w:tr>
      <w:tr>
        <w:tc>
          <w:tcPr>
            <w:tcW w:type="dxa" w:w="2400"/>
            <w:tcMar>
              <w:top w:type="dxa" w:w="80"/>
              <w:left w:type="dxa" w:w="120"/>
              <w:bottom w:type="dxa" w:w="80"/>
              <w:right w:type="dxa" w:w="120"/>
            </w:tcMar>
          </w:tcPr>
          <w:p>
            <w:r>
              <w:rPr>
                <w:b/>
                <w:bCs/>
                <w:sz w:val="21"/>
                <w:szCs w:val="21"/>
              </w:rPr>
              <w:t xml:space="preserve">Profit factor</w:t>
            </w:r>
          </w:p>
        </w:tc>
        <w:tc>
          <w:tcPr>
            <w:tcW w:type="dxa" w:w="6960"/>
            <w:tcMar>
              <w:top w:type="dxa" w:w="80"/>
              <w:left w:type="dxa" w:w="120"/>
              <w:bottom w:type="dxa" w:w="80"/>
              <w:right w:type="dxa" w:w="120"/>
            </w:tcMar>
          </w:tcPr>
          <w:p>
            <w:r>
              <w:rPr>
                <w:b w:val="false"/>
                <w:bCs w:val="false"/>
                <w:sz w:val="21"/>
                <w:szCs w:val="21"/>
              </w:rPr>
              <w:t xml:space="preserve">Gross profit divided by gross loss (dimensionless ratio)</w:t>
            </w:r>
          </w:p>
        </w:tc>
      </w:tr>
      <w:tr>
        <w:tc>
          <w:tcPr>
            <w:tcW w:type="dxa" w:w="2400"/>
            <w:tcMar>
              <w:top w:type="dxa" w:w="80"/>
              <w:left w:type="dxa" w:w="120"/>
              <w:bottom w:type="dxa" w:w="80"/>
              <w:right w:type="dxa" w:w="120"/>
            </w:tcMar>
          </w:tcPr>
          <w:p>
            <w:r>
              <w:rPr>
                <w:b/>
                <w:bCs/>
                <w:sz w:val="21"/>
                <w:szCs w:val="21"/>
              </w:rPr>
              <w:t xml:space="preserve">Maximum drawdown</w:t>
            </w:r>
          </w:p>
        </w:tc>
        <w:tc>
          <w:tcPr>
            <w:tcW w:type="dxa" w:w="6960"/>
            <w:tcMar>
              <w:top w:type="dxa" w:w="80"/>
              <w:left w:type="dxa" w:w="120"/>
              <w:bottom w:type="dxa" w:w="80"/>
              <w:right w:type="dxa" w:w="120"/>
            </w:tcMar>
          </w:tcPr>
          <w:p>
            <w:r>
              <w:rPr>
                <w:b w:val="false"/>
                <w:bCs w:val="false"/>
                <w:sz w:val="21"/>
                <w:szCs w:val="21"/>
              </w:rPr>
              <w:t xml:space="preserve">Largest peak-to-trough fall in account equity, as a percentage</w:t>
            </w:r>
          </w:p>
        </w:tc>
      </w:tr>
      <w:tr>
        <w:tc>
          <w:tcPr>
            <w:tcW w:type="dxa" w:w="2400"/>
            <w:tcMar>
              <w:top w:type="dxa" w:w="80"/>
              <w:left w:type="dxa" w:w="120"/>
              <w:bottom w:type="dxa" w:w="80"/>
              <w:right w:type="dxa" w:w="120"/>
            </w:tcMar>
          </w:tcPr>
          <w:p>
            <w:r>
              <w:rPr>
                <w:b/>
                <w:bCs/>
                <w:sz w:val="21"/>
                <w:szCs w:val="21"/>
              </w:rPr>
              <w:t xml:space="preserve">Expectancy</w:t>
            </w:r>
          </w:p>
        </w:tc>
        <w:tc>
          <w:tcPr>
            <w:tcW w:type="dxa" w:w="6960"/>
            <w:tcMar>
              <w:top w:type="dxa" w:w="80"/>
              <w:left w:type="dxa" w:w="120"/>
              <w:bottom w:type="dxa" w:w="80"/>
              <w:right w:type="dxa" w:w="120"/>
            </w:tcMar>
          </w:tcPr>
          <w:p>
            <w:r>
              <w:rPr>
                <w:b w:val="false"/>
                <w:bCs w:val="false"/>
                <w:sz w:val="21"/>
                <w:szCs w:val="21"/>
              </w:rPr>
              <w:t xml:space="preserve">Mean return per trade in R-multiples</w:t>
            </w:r>
          </w:p>
        </w:tc>
      </w:tr>
      <w:tr>
        <w:tc>
          <w:tcPr>
            <w:tcW w:type="dxa" w:w="2400"/>
            <w:tcMar>
              <w:top w:type="dxa" w:w="80"/>
              <w:left w:type="dxa" w:w="120"/>
              <w:bottom w:type="dxa" w:w="80"/>
              <w:right w:type="dxa" w:w="120"/>
            </w:tcMar>
          </w:tcPr>
          <w:p>
            <w:r>
              <w:rPr>
                <w:b/>
                <w:bCs/>
                <w:sz w:val="21"/>
                <w:szCs w:val="21"/>
              </w:rPr>
              <w:t xml:space="preserve">Skip counts</w:t>
            </w:r>
          </w:p>
        </w:tc>
        <w:tc>
          <w:tcPr>
            <w:tcW w:type="dxa" w:w="6960"/>
            <w:tcMar>
              <w:top w:type="dxa" w:w="80"/>
              <w:left w:type="dxa" w:w="120"/>
              <w:bottom w:type="dxa" w:w="80"/>
              <w:right w:type="dxa" w:w="120"/>
            </w:tcMar>
          </w:tcPr>
          <w:p>
            <w:r>
              <w:rPr>
                <w:b w:val="false"/>
                <w:bCs w:val="false"/>
                <w:sz w:val="21"/>
                <w:szCs w:val="21"/>
              </w:rPr>
              <w:t xml:space="preserve">Frequency of each reason code for trades the system declined to take</w:t>
            </w:r>
          </w:p>
        </w:tc>
      </w:tr>
    </w:tbl>
    <w:p>
      <w:pPr>
        <w:pStyle w:val="Heading2"/>
        <w:spacing w:after="120" w:before="240"/>
      </w:pPr>
      <w:r>
        <w:rPr>
          <w:b/>
          <w:bCs/>
          <w:color w:val="333333"/>
          <w:sz w:val="24"/>
          <w:szCs w:val="24"/>
        </w:rPr>
        <w:t xml:space="preserve">Controlled Variables</w:t>
      </w:r>
    </w:p>
    <w:p>
      <w:pPr>
        <w:spacing w:after="120" w:line="276"/>
      </w:pPr>
      <w:r>
        <w:rPr>
          <w:sz w:val="22"/>
          <w:szCs w:val="22"/>
        </w:rPr>
        <w:t xml:space="preserve">Held identical across all three arms so that any difference in outcome can be attributed to the independent variable alone:</w:t>
      </w:r>
    </w:p>
    <w:p>
      <w:pPr>
        <w:spacing w:after="80" w:line="276"/>
        <w:ind w:left="720" w:hanging="260"/>
      </w:pPr>
      <w:r>
        <w:rPr>
          <w:sz w:val="22"/>
          <w:szCs w:val="22"/>
        </w:rPr>
        <w:t xml:space="preserve">— </w:t>
      </w:r>
      <w:r>
        <w:rPr>
          <w:sz w:val="22"/>
          <w:szCs w:val="22"/>
        </w:rPr>
        <w:t xml:space="preserve">Instrument: MNQ (Micro E-mini Nasdaq-100 futures)</w:t>
      </w:r>
    </w:p>
    <w:p>
      <w:pPr>
        <w:spacing w:after="80" w:line="276"/>
        <w:ind w:left="720" w:hanging="260"/>
      </w:pPr>
      <w:r>
        <w:rPr>
          <w:sz w:val="22"/>
          <w:szCs w:val="22"/>
        </w:rPr>
        <w:t xml:space="preserve">— </w:t>
      </w:r>
      <w:r>
        <w:rPr>
          <w:sz w:val="22"/>
          <w:szCs w:val="22"/>
        </w:rPr>
        <w:t xml:space="preserve">Historical period: the same 24 months of data for every arm</w:t>
      </w:r>
    </w:p>
    <w:p>
      <w:pPr>
        <w:spacing w:after="80" w:line="276"/>
        <w:ind w:left="720" w:hanging="260"/>
      </w:pPr>
      <w:r>
        <w:rPr>
          <w:sz w:val="22"/>
          <w:szCs w:val="22"/>
        </w:rPr>
        <w:t xml:space="preserve">— </w:t>
      </w:r>
      <w:r>
        <w:rPr>
          <w:sz w:val="22"/>
          <w:szCs w:val="22"/>
        </w:rPr>
        <w:t xml:space="preserve">Risk per trade: 1.0% of account equity</w:t>
      </w:r>
    </w:p>
    <w:p>
      <w:pPr>
        <w:spacing w:after="80" w:line="276"/>
        <w:ind w:left="720" w:hanging="260"/>
      </w:pPr>
      <w:r>
        <w:rPr>
          <w:sz w:val="22"/>
          <w:szCs w:val="22"/>
        </w:rPr>
        <w:t xml:space="preserve">— </w:t>
      </w:r>
      <w:r>
        <w:rPr>
          <w:sz w:val="22"/>
          <w:szCs w:val="22"/>
        </w:rPr>
        <w:t xml:space="preserve">Maximum concurrent positions: 1</w:t>
      </w:r>
    </w:p>
    <w:p>
      <w:pPr>
        <w:spacing w:after="80" w:line="276"/>
        <w:ind w:left="720" w:hanging="260"/>
      </w:pPr>
      <w:r>
        <w:rPr>
          <w:sz w:val="22"/>
          <w:szCs w:val="22"/>
        </w:rPr>
        <w:t xml:space="preserve">— </w:t>
      </w:r>
      <w:r>
        <w:rPr>
          <w:sz w:val="22"/>
          <w:szCs w:val="22"/>
        </w:rPr>
        <w:t xml:space="preserve">Daily loss circuit breaker: 3.0% of start-of-day equity</w:t>
      </w:r>
    </w:p>
    <w:p>
      <w:pPr>
        <w:spacing w:after="80" w:line="276"/>
        <w:ind w:left="720" w:hanging="260"/>
      </w:pPr>
      <w:r>
        <w:rPr>
          <w:sz w:val="22"/>
          <w:szCs w:val="22"/>
        </w:rPr>
        <w:t xml:space="preserve">— </w:t>
      </w:r>
      <w:r>
        <w:rPr>
          <w:sz w:val="22"/>
          <w:szCs w:val="22"/>
        </w:rPr>
        <w:t xml:space="preserve">Stop placement: the next inverse-Fibonacci tier beyond the entry level</w:t>
      </w:r>
    </w:p>
    <w:p>
      <w:pPr>
        <w:spacing w:after="80" w:line="276"/>
        <w:ind w:left="720" w:hanging="260"/>
      </w:pPr>
      <w:r>
        <w:rPr>
          <w:sz w:val="22"/>
          <w:szCs w:val="22"/>
        </w:rPr>
        <w:t xml:space="preserve">— </w:t>
      </w:r>
      <w:r>
        <w:rPr>
          <w:sz w:val="22"/>
          <w:szCs w:val="22"/>
        </w:rPr>
        <w:t xml:space="preserve">Target rule: session VWAP, or the nearest opposing point of interest if VWAP has already been passed</w:t>
      </w:r>
    </w:p>
    <w:p>
      <w:pPr>
        <w:spacing w:after="80" w:line="276"/>
        <w:ind w:left="720" w:hanging="260"/>
      </w:pPr>
      <w:r>
        <w:rPr>
          <w:sz w:val="22"/>
          <w:szCs w:val="22"/>
        </w:rPr>
        <w:t xml:space="preserve">— </w:t>
      </w:r>
      <w:r>
        <w:rPr>
          <w:sz w:val="22"/>
          <w:szCs w:val="22"/>
        </w:rPr>
        <w:t xml:space="preserve">Stagnant-trade cutoff: 30 minutes after session close</w:t>
      </w:r>
    </w:p>
    <w:p>
      <w:pPr>
        <w:spacing w:after="80" w:line="276"/>
        <w:ind w:left="720" w:hanging="260"/>
      </w:pPr>
      <w:r>
        <w:rPr>
          <w:sz w:val="22"/>
          <w:szCs w:val="22"/>
        </w:rPr>
        <w:t xml:space="preserve">— </w:t>
      </w:r>
      <w:r>
        <w:rPr>
          <w:sz w:val="22"/>
          <w:szCs w:val="22"/>
        </w:rPr>
        <w:t xml:space="preserve">Session-open windows: Asia 18:00–19:00 ET; New York 09:30–10:30 ET</w:t>
      </w:r>
    </w:p>
    <w:p>
      <w:pPr>
        <w:spacing w:after="80" w:line="276"/>
        <w:ind w:left="720" w:hanging="260"/>
      </w:pPr>
      <w:r>
        <w:rPr>
          <w:sz w:val="22"/>
          <w:szCs w:val="22"/>
        </w:rPr>
        <w:t xml:space="preserve">— </w:t>
      </w:r>
      <w:r>
        <w:rPr>
          <w:sz w:val="22"/>
          <w:szCs w:val="22"/>
        </w:rPr>
        <w:t xml:space="preserve">Starting equity, slippage model (1 tick per fill), and commission ($0.74 per round turn)</w:t>
      </w:r>
    </w:p>
    <w:p>
      <w:pPr>
        <w:pStyle w:val="Heading1"/>
        <w:spacing w:after="160" w:before="320"/>
      </w:pPr>
      <w:r>
        <w:rPr>
          <w:b/>
          <w:bCs/>
          <w:color w:val="1A1A1A"/>
          <w:sz w:val="28"/>
          <w:szCs w:val="28"/>
        </w:rPr>
        <w:t xml:space="preserve">Materials</w:t>
      </w:r>
    </w:p>
    <w:p>
      <w:pPr>
        <w:spacing w:after="120" w:line="276"/>
      </w:pPr>
      <w:r>
        <w:rPr>
          <w:sz w:val="22"/>
          <w:szCs w:val="22"/>
        </w:rPr>
        <w:t xml:space="preserve">Costs below are separated into two tiers. Tier 1 lists everything required to carry out this study as designed. Tier 2 lists what would additionally be required to deploy the same system as a live trading bot, which this study does not do. The comparison between the two tiers is itself part of the justification for the chosen design.</w:t>
      </w:r>
    </w:p>
    <w:p>
      <w:pPr>
        <w:pStyle w:val="Heading2"/>
        <w:spacing w:after="120" w:before="240"/>
      </w:pPr>
      <w:r>
        <w:rPr>
          <w:b/>
          <w:bCs/>
          <w:color w:val="333333"/>
          <w:sz w:val="24"/>
          <w:szCs w:val="24"/>
        </w:rPr>
        <w:t xml:space="preserve">Tier 1 — Materials required for this study (historical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700"/>
        <w:gridCol w:w="2600"/>
      </w:tblGrid>
      <w:tr>
        <w:tc>
          <w:tcPr>
            <w:tcW w:type="dxa" w:w="3060"/>
            <w:shd w:fill="E8E8E8" w:color="auto" w:val="clear"/>
            <w:tcMar>
              <w:top w:type="dxa" w:w="80"/>
              <w:left w:type="dxa" w:w="120"/>
              <w:bottom w:type="dxa" w:w="80"/>
              <w:right w:type="dxa" w:w="120"/>
            </w:tcMar>
          </w:tcPr>
          <w:p>
            <w:r>
              <w:rPr>
                <w:b/>
                <w:bCs/>
                <w:sz w:val="21"/>
                <w:szCs w:val="21"/>
              </w:rPr>
              <w:t xml:space="preserve">Item</w:t>
            </w:r>
          </w:p>
        </w:tc>
        <w:tc>
          <w:tcPr>
            <w:tcW w:type="dxa" w:w="3700"/>
            <w:shd w:fill="E8E8E8" w:color="auto" w:val="clear"/>
            <w:tcMar>
              <w:top w:type="dxa" w:w="80"/>
              <w:left w:type="dxa" w:w="120"/>
              <w:bottom w:type="dxa" w:w="80"/>
              <w:right w:type="dxa" w:w="120"/>
            </w:tcMar>
          </w:tcPr>
          <w:p>
            <w:r>
              <w:rPr>
                <w:b/>
                <w:bCs/>
                <w:sz w:val="21"/>
                <w:szCs w:val="21"/>
              </w:rPr>
              <w:t xml:space="preserve">Purpose in the study</w:t>
            </w:r>
          </w:p>
        </w:tc>
        <w:tc>
          <w:tcPr>
            <w:tcW w:type="dxa" w:w="2600"/>
            <w:shd w:fill="E8E8E8" w:color="auto" w:val="clear"/>
            <w:tcMar>
              <w:top w:type="dxa" w:w="80"/>
              <w:left w:type="dxa" w:w="120"/>
              <w:bottom w:type="dxa" w:w="80"/>
              <w:right w:type="dxa" w:w="120"/>
            </w:tcMar>
          </w:tcPr>
          <w:p>
            <w:r>
              <w:rPr>
                <w:b/>
                <w:bCs/>
                <w:sz w:val="21"/>
                <w:szCs w:val="21"/>
              </w:rPr>
              <w:t xml:space="preserve">Cost</w:t>
            </w:r>
          </w:p>
        </w:tc>
      </w:tr>
      <w:tr>
        <w:tc>
          <w:tcPr>
            <w:tcW w:type="dxa" w:w="3060"/>
            <w:tcMar>
              <w:top w:type="dxa" w:w="80"/>
              <w:left w:type="dxa" w:w="120"/>
              <w:bottom w:type="dxa" w:w="80"/>
              <w:right w:type="dxa" w:w="120"/>
            </w:tcMar>
          </w:tcPr>
          <w:p>
            <w:r>
              <w:rPr>
                <w:b w:val="false"/>
                <w:bCs w:val="false"/>
                <w:sz w:val="21"/>
                <w:szCs w:val="21"/>
              </w:rPr>
              <w:t xml:space="preserve">Computer running Python 3.11+</w:t>
            </w:r>
          </w:p>
        </w:tc>
        <w:tc>
          <w:tcPr>
            <w:tcW w:type="dxa" w:w="3700"/>
            <w:tcMar>
              <w:top w:type="dxa" w:w="80"/>
              <w:left w:type="dxa" w:w="120"/>
              <w:bottom w:type="dxa" w:w="80"/>
              <w:right w:type="dxa" w:w="120"/>
            </w:tcMar>
          </w:tcPr>
          <w:p>
            <w:r>
              <w:rPr>
                <w:b w:val="false"/>
                <w:bCs w:val="false"/>
                <w:sz w:val="21"/>
                <w:szCs w:val="21"/>
              </w:rPr>
              <w:t xml:space="preserve">Executes the simulation over the dataset</w:t>
            </w:r>
          </w:p>
        </w:tc>
        <w:tc>
          <w:tcPr>
            <w:tcW w:type="dxa" w:w="2600"/>
            <w:tcMar>
              <w:top w:type="dxa" w:w="80"/>
              <w:left w:type="dxa" w:w="120"/>
              <w:bottom w:type="dxa" w:w="80"/>
              <w:right w:type="dxa" w:w="120"/>
            </w:tcMar>
          </w:tcPr>
          <w:p>
            <w:r>
              <w:rPr>
                <w:b w:val="false"/>
                <w:bCs w:val="false"/>
                <w:sz w:val="21"/>
                <w:szCs w:val="21"/>
              </w:rPr>
              <w:t xml:space="preserve">$0 (already owned)</w:t>
            </w:r>
          </w:p>
        </w:tc>
      </w:tr>
      <w:tr>
        <w:tc>
          <w:tcPr>
            <w:tcW w:type="dxa" w:w="3060"/>
            <w:tcMar>
              <w:top w:type="dxa" w:w="80"/>
              <w:left w:type="dxa" w:w="120"/>
              <w:bottom w:type="dxa" w:w="80"/>
              <w:right w:type="dxa" w:w="120"/>
            </w:tcMar>
          </w:tcPr>
          <w:p>
            <w:r>
              <w:rPr>
                <w:b w:val="false"/>
                <w:bCs w:val="false"/>
                <w:sz w:val="21"/>
                <w:szCs w:val="21"/>
              </w:rPr>
              <w:t xml:space="preserve">Python 3.11 or later</w:t>
            </w:r>
          </w:p>
        </w:tc>
        <w:tc>
          <w:tcPr>
            <w:tcW w:type="dxa" w:w="3700"/>
            <w:tcMar>
              <w:top w:type="dxa" w:w="80"/>
              <w:left w:type="dxa" w:w="120"/>
              <w:bottom w:type="dxa" w:w="80"/>
              <w:right w:type="dxa" w:w="120"/>
            </w:tcMar>
          </w:tcPr>
          <w:p>
            <w:r>
              <w:rPr>
                <w:b w:val="false"/>
                <w:bCs w:val="false"/>
                <w:sz w:val="21"/>
                <w:szCs w:val="21"/>
              </w:rPr>
              <w:t xml:space="preserve">Programming environment</w:t>
            </w:r>
          </w:p>
        </w:tc>
        <w:tc>
          <w:tcPr>
            <w:tcW w:type="dxa" w:w="2600"/>
            <w:tcMar>
              <w:top w:type="dxa" w:w="80"/>
              <w:left w:type="dxa" w:w="120"/>
              <w:bottom w:type="dxa" w:w="80"/>
              <w:right w:type="dxa" w:w="120"/>
            </w:tcMar>
          </w:tcPr>
          <w:p>
            <w:r>
              <w:rPr>
                <w:b w:val="false"/>
                <w:bCs w:val="false"/>
                <w:sz w:val="21"/>
                <w:szCs w:val="21"/>
              </w:rPr>
              <w:t xml:space="preserve">$0 (open-source)</w:t>
            </w:r>
          </w:p>
        </w:tc>
      </w:tr>
      <w:tr>
        <w:tc>
          <w:tcPr>
            <w:tcW w:type="dxa" w:w="3060"/>
            <w:tcMar>
              <w:top w:type="dxa" w:w="80"/>
              <w:left w:type="dxa" w:w="120"/>
              <w:bottom w:type="dxa" w:w="80"/>
              <w:right w:type="dxa" w:w="120"/>
            </w:tcMar>
          </w:tcPr>
          <w:p>
            <w:r>
              <w:rPr>
                <w:b w:val="false"/>
                <w:bCs w:val="false"/>
                <w:sz w:val="21"/>
                <w:szCs w:val="21"/>
              </w:rPr>
              <w:t xml:space="preserve">STDVBOT software package</w:t>
            </w:r>
          </w:p>
        </w:tc>
        <w:tc>
          <w:tcPr>
            <w:tcW w:type="dxa" w:w="3700"/>
            <w:tcMar>
              <w:top w:type="dxa" w:w="80"/>
              <w:left w:type="dxa" w:w="120"/>
              <w:bottom w:type="dxa" w:w="80"/>
              <w:right w:type="dxa" w:w="120"/>
            </w:tcMar>
          </w:tcPr>
          <w:p>
            <w:r>
              <w:rPr>
                <w:b w:val="false"/>
                <w:bCs w:val="false"/>
                <w:sz w:val="21"/>
                <w:szCs w:val="21"/>
              </w:rPr>
              <w:t xml:space="preserve">The system under test; written by the researcher</w:t>
            </w:r>
          </w:p>
        </w:tc>
        <w:tc>
          <w:tcPr>
            <w:tcW w:type="dxa" w:w="2600"/>
            <w:tcMar>
              <w:top w:type="dxa" w:w="80"/>
              <w:left w:type="dxa" w:w="120"/>
              <w:bottom w:type="dxa" w:w="80"/>
              <w:right w:type="dxa" w:w="120"/>
            </w:tcMar>
          </w:tcPr>
          <w:p>
            <w:r>
              <w:rPr>
                <w:b w:val="false"/>
                <w:bCs w:val="false"/>
                <w:sz w:val="21"/>
                <w:szCs w:val="21"/>
              </w:rPr>
              <w:t xml:space="preserve">$0</w:t>
            </w:r>
          </w:p>
        </w:tc>
      </w:tr>
      <w:tr>
        <w:tc>
          <w:tcPr>
            <w:tcW w:type="dxa" w:w="3060"/>
            <w:tcMar>
              <w:top w:type="dxa" w:w="80"/>
              <w:left w:type="dxa" w:w="120"/>
              <w:bottom w:type="dxa" w:w="80"/>
              <w:right w:type="dxa" w:w="120"/>
            </w:tcMar>
          </w:tcPr>
          <w:p>
            <w:r>
              <w:rPr>
                <w:b w:val="false"/>
                <w:bCs w:val="false"/>
                <w:sz w:val="21"/>
                <w:szCs w:val="21"/>
              </w:rPr>
              <w:t xml:space="preserve">24 months of 1-minute OHLCV data for MNQ</w:t>
            </w:r>
          </w:p>
        </w:tc>
        <w:tc>
          <w:tcPr>
            <w:tcW w:type="dxa" w:w="3700"/>
            <w:tcMar>
              <w:top w:type="dxa" w:w="80"/>
              <w:left w:type="dxa" w:w="120"/>
              <w:bottom w:type="dxa" w:w="80"/>
              <w:right w:type="dxa" w:w="120"/>
            </w:tcMar>
          </w:tcPr>
          <w:p>
            <w:r>
              <w:rPr>
                <w:b w:val="false"/>
                <w:bCs w:val="false"/>
                <w:sz w:val="21"/>
                <w:szCs w:val="21"/>
              </w:rPr>
              <w:t xml:space="preserve">The dataset all three arms replay</w:t>
            </w:r>
          </w:p>
        </w:tc>
        <w:tc>
          <w:tcPr>
            <w:tcW w:type="dxa" w:w="2600"/>
            <w:tcMar>
              <w:top w:type="dxa" w:w="80"/>
              <w:left w:type="dxa" w:w="120"/>
              <w:bottom w:type="dxa" w:w="80"/>
              <w:right w:type="dxa" w:w="120"/>
            </w:tcMar>
          </w:tcPr>
          <w:p>
            <w:r>
              <w:rPr>
                <w:b w:val="false"/>
                <w:bCs w:val="false"/>
                <w:sz w:val="21"/>
                <w:szCs w:val="21"/>
              </w:rPr>
              <w:t xml:space="preserve">≈ $30–100 (one-off)</w:t>
            </w:r>
          </w:p>
        </w:tc>
      </w:tr>
      <w:tr>
        <w:tc>
          <w:tcPr>
            <w:tcW w:type="dxa" w:w="3060"/>
            <w:tcMar>
              <w:top w:type="dxa" w:w="80"/>
              <w:left w:type="dxa" w:w="120"/>
              <w:bottom w:type="dxa" w:w="80"/>
              <w:right w:type="dxa" w:w="120"/>
            </w:tcMar>
          </w:tcPr>
          <w:p>
            <w:r>
              <w:rPr>
                <w:b w:val="false"/>
                <w:bCs w:val="false"/>
                <w:sz w:val="21"/>
                <w:szCs w:val="21"/>
              </w:rPr>
              <w:t xml:space="preserve">≈ 2 GB free disk space</w:t>
            </w:r>
          </w:p>
        </w:tc>
        <w:tc>
          <w:tcPr>
            <w:tcW w:type="dxa" w:w="3700"/>
            <w:tcMar>
              <w:top w:type="dxa" w:w="80"/>
              <w:left w:type="dxa" w:w="120"/>
              <w:bottom w:type="dxa" w:w="80"/>
              <w:right w:type="dxa" w:w="120"/>
            </w:tcMar>
          </w:tcPr>
          <w:p>
            <w:r>
              <w:rPr>
                <w:b w:val="false"/>
                <w:bCs w:val="false"/>
                <w:sz w:val="21"/>
                <w:szCs w:val="21"/>
              </w:rPr>
              <w:t xml:space="preserve">Stores the dataset and result files</w:t>
            </w:r>
          </w:p>
        </w:tc>
        <w:tc>
          <w:tcPr>
            <w:tcW w:type="dxa" w:w="2600"/>
            <w:tcMar>
              <w:top w:type="dxa" w:w="80"/>
              <w:left w:type="dxa" w:w="120"/>
              <w:bottom w:type="dxa" w:w="80"/>
              <w:right w:type="dxa" w:w="120"/>
            </w:tcMar>
          </w:tcPr>
          <w:p>
            <w:r>
              <w:rPr>
                <w:b w:val="false"/>
                <w:bCs w:val="false"/>
                <w:sz w:val="21"/>
                <w:szCs w:val="21"/>
              </w:rPr>
              <w:t xml:space="preserve">$0</w:t>
            </w:r>
          </w:p>
        </w:tc>
      </w:tr>
      <w:tr>
        <w:tc>
          <w:tcPr>
            <w:tcW w:type="dxa" w:w="3060"/>
            <w:tcMar>
              <w:top w:type="dxa" w:w="80"/>
              <w:left w:type="dxa" w:w="120"/>
              <w:bottom w:type="dxa" w:w="80"/>
              <w:right w:type="dxa" w:w="120"/>
            </w:tcMar>
          </w:tcPr>
          <w:p>
            <w:r>
              <w:rPr>
                <w:b w:val="false"/>
                <w:bCs w:val="false"/>
                <w:sz w:val="21"/>
                <w:szCs w:val="21"/>
              </w:rPr>
              <w:t xml:space="preserve">Lab notebook</w:t>
            </w:r>
          </w:p>
        </w:tc>
        <w:tc>
          <w:tcPr>
            <w:tcW w:type="dxa" w:w="3700"/>
            <w:tcMar>
              <w:top w:type="dxa" w:w="80"/>
              <w:left w:type="dxa" w:w="120"/>
              <w:bottom w:type="dxa" w:w="80"/>
              <w:right w:type="dxa" w:w="120"/>
            </w:tcMar>
          </w:tcPr>
          <w:p>
            <w:r>
              <w:rPr>
                <w:b w:val="false"/>
                <w:bCs w:val="false"/>
                <w:sz w:val="21"/>
                <w:szCs w:val="21"/>
              </w:rPr>
              <w:t xml:space="preserve">Records parameters, data provenance, observations</w:t>
            </w:r>
          </w:p>
        </w:tc>
        <w:tc>
          <w:tcPr>
            <w:tcW w:type="dxa" w:w="2600"/>
            <w:tcMar>
              <w:top w:type="dxa" w:w="80"/>
              <w:left w:type="dxa" w:w="120"/>
              <w:bottom w:type="dxa" w:w="80"/>
              <w:right w:type="dxa" w:w="120"/>
            </w:tcMar>
          </w:tcPr>
          <w:p>
            <w:r>
              <w:rPr>
                <w:b w:val="false"/>
                <w:bCs w:val="false"/>
                <w:sz w:val="21"/>
                <w:szCs w:val="21"/>
              </w:rPr>
              <w:t xml:space="preserve">≈ $0–5</w:t>
            </w:r>
          </w:p>
        </w:tc>
      </w:tr>
      <w:tr>
        <w:tc>
          <w:tcPr>
            <w:tcW w:type="dxa" w:w="3060"/>
            <w:shd w:fill="F4F4F4" w:color="auto" w:val="clear"/>
            <w:tcMar>
              <w:top w:type="dxa" w:w="80"/>
              <w:left w:type="dxa" w:w="120"/>
              <w:bottom w:type="dxa" w:w="80"/>
              <w:right w:type="dxa" w:w="120"/>
            </w:tcMar>
          </w:tcPr>
          <w:p>
            <w:r>
              <w:rPr>
                <w:b/>
                <w:bCs/>
                <w:sz w:val="21"/>
                <w:szCs w:val="21"/>
              </w:rPr>
              <w:t xml:space="preserve">Total</w:t>
            </w:r>
          </w:p>
        </w:tc>
        <w:tc>
          <w:tcPr>
            <w:tcW w:type="dxa" w:w="3700"/>
            <w:shd w:fill="F4F4F4" w:color="auto" w:val="clear"/>
            <w:tcMar>
              <w:top w:type="dxa" w:w="80"/>
              <w:left w:type="dxa" w:w="120"/>
              <w:bottom w:type="dxa" w:w="80"/>
              <w:right w:type="dxa" w:w="120"/>
            </w:tcMar>
          </w:tcPr>
          <w:p>
            <w:r>
              <w:rPr>
                <w:b w:val="false"/>
                <w:bCs w:val="false"/>
                <w:sz w:val="21"/>
                <w:szCs w:val="21"/>
              </w:rPr>
              <w:t xml:space="preserve">One-off cost to complete the entire study</w:t>
            </w:r>
          </w:p>
        </w:tc>
        <w:tc>
          <w:tcPr>
            <w:tcW w:type="dxa" w:w="2600"/>
            <w:shd w:fill="F4F4F4" w:color="auto" w:val="clear"/>
            <w:tcMar>
              <w:top w:type="dxa" w:w="80"/>
              <w:left w:type="dxa" w:w="120"/>
              <w:bottom w:type="dxa" w:w="80"/>
              <w:right w:type="dxa" w:w="120"/>
            </w:tcMar>
          </w:tcPr>
          <w:p>
            <w:r>
              <w:rPr>
                <w:b/>
                <w:bCs/>
                <w:sz w:val="21"/>
                <w:szCs w:val="21"/>
              </w:rPr>
              <w:t xml:space="preserve">≈ $30–105</w:t>
            </w:r>
          </w:p>
        </w:tc>
      </w:tr>
    </w:tbl>
    <w:p>
      <w:pPr>
        <w:spacing w:after="120" w:line="276"/>
      </w:pPr>
      <w:r>
        <w:rPr>
          <w:i/>
          <w:iCs/>
          <w:sz w:val="22"/>
          <w:szCs w:val="22"/>
        </w:rPr>
        <w:t xml:space="preserve">No brokerage account, no trading API credentials, and no live market-data subscription are required at any stage of this study.</w:t>
      </w:r>
    </w:p>
    <w:p>
      <w:pPr>
        <w:pStyle w:val="Heading2"/>
        <w:spacing w:after="120" w:before="240"/>
      </w:pPr>
      <w:r>
        <w:rPr>
          <w:b/>
          <w:bCs/>
          <w:color w:val="333333"/>
          <w:sz w:val="24"/>
          <w:szCs w:val="24"/>
        </w:rPr>
        <w:t xml:space="preserve">Tier 2 — Additional materials required for live implementation (not undertaken in this study)</w:t>
      </w:r>
    </w:p>
    <w:p>
      <w:pPr>
        <w:spacing w:after="120" w:line="276"/>
      </w:pPr>
      <w:r>
        <w:rPr>
          <w:sz w:val="22"/>
          <w:szCs w:val="22"/>
        </w:rPr>
        <w:t xml:space="preserve">Were the system to be deployed to trade live rather than replay history, it would require a continuous real-time price feed and authorised order routing. Neither can be obtained free of charge. The following would be needed in addition to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700"/>
        <w:gridCol w:w="2600"/>
      </w:tblGrid>
      <w:tr>
        <w:tc>
          <w:tcPr>
            <w:tcW w:type="dxa" w:w="3060"/>
            <w:shd w:fill="E8E8E8" w:color="auto" w:val="clear"/>
            <w:tcMar>
              <w:top w:type="dxa" w:w="80"/>
              <w:left w:type="dxa" w:w="120"/>
              <w:bottom w:type="dxa" w:w="80"/>
              <w:right w:type="dxa" w:w="120"/>
            </w:tcMar>
          </w:tcPr>
          <w:p>
            <w:r>
              <w:rPr>
                <w:b/>
                <w:bCs/>
                <w:sz w:val="21"/>
                <w:szCs w:val="21"/>
              </w:rPr>
              <w:t xml:space="preserve">Item</w:t>
            </w:r>
          </w:p>
        </w:tc>
        <w:tc>
          <w:tcPr>
            <w:tcW w:type="dxa" w:w="3700"/>
            <w:shd w:fill="E8E8E8" w:color="auto" w:val="clear"/>
            <w:tcMar>
              <w:top w:type="dxa" w:w="80"/>
              <w:left w:type="dxa" w:w="120"/>
              <w:bottom w:type="dxa" w:w="80"/>
              <w:right w:type="dxa" w:w="120"/>
            </w:tcMar>
          </w:tcPr>
          <w:p>
            <w:r>
              <w:rPr>
                <w:b/>
                <w:bCs/>
                <w:sz w:val="21"/>
                <w:szCs w:val="21"/>
              </w:rPr>
              <w:t xml:space="preserve">Why live operation requires it</w:t>
            </w:r>
          </w:p>
        </w:tc>
        <w:tc>
          <w:tcPr>
            <w:tcW w:type="dxa" w:w="2600"/>
            <w:shd w:fill="E8E8E8" w:color="auto" w:val="clear"/>
            <w:tcMar>
              <w:top w:type="dxa" w:w="80"/>
              <w:left w:type="dxa" w:w="120"/>
              <w:bottom w:type="dxa" w:w="80"/>
              <w:right w:type="dxa" w:w="120"/>
            </w:tcMar>
          </w:tcPr>
          <w:p>
            <w:r>
              <w:rPr>
                <w:b/>
                <w:bCs/>
                <w:sz w:val="21"/>
                <w:szCs w:val="21"/>
              </w:rPr>
              <w:t xml:space="preserve">Cost</w:t>
            </w:r>
          </w:p>
        </w:tc>
      </w:tr>
      <w:tr>
        <w:tc>
          <w:tcPr>
            <w:tcW w:type="dxa" w:w="3060"/>
            <w:tcMar>
              <w:top w:type="dxa" w:w="80"/>
              <w:left w:type="dxa" w:w="120"/>
              <w:bottom w:type="dxa" w:w="80"/>
              <w:right w:type="dxa" w:w="120"/>
            </w:tcMar>
          </w:tcPr>
          <w:p>
            <w:r>
              <w:rPr>
                <w:b w:val="false"/>
                <w:bCs w:val="false"/>
                <w:sz w:val="21"/>
                <w:szCs w:val="21"/>
              </w:rPr>
              <w:t xml:space="preserve">Tradovate API Access add-on</w:t>
            </w:r>
          </w:p>
        </w:tc>
        <w:tc>
          <w:tcPr>
            <w:tcW w:type="dxa" w:w="3700"/>
            <w:tcMar>
              <w:top w:type="dxa" w:w="80"/>
              <w:left w:type="dxa" w:w="120"/>
              <w:bottom w:type="dxa" w:w="80"/>
              <w:right w:type="dxa" w:w="120"/>
            </w:tcMar>
          </w:tcPr>
          <w:p>
            <w:r>
              <w:rPr>
                <w:b w:val="false"/>
                <w:bCs w:val="false"/>
                <w:sz w:val="21"/>
                <w:szCs w:val="21"/>
              </w:rPr>
              <w:t xml:space="preserve">Authorises the program to submit, modify and cancel orders</w:t>
            </w:r>
          </w:p>
        </w:tc>
        <w:tc>
          <w:tcPr>
            <w:tcW w:type="dxa" w:w="2600"/>
            <w:tcMar>
              <w:top w:type="dxa" w:w="80"/>
              <w:left w:type="dxa" w:w="120"/>
              <w:bottom w:type="dxa" w:w="80"/>
              <w:right w:type="dxa" w:w="120"/>
            </w:tcMar>
          </w:tcPr>
          <w:p>
            <w:r>
              <w:rPr>
                <w:b w:val="false"/>
                <w:bCs w:val="false"/>
                <w:sz w:val="21"/>
                <w:szCs w:val="21"/>
              </w:rPr>
              <w:t xml:space="preserve">≈ $25 / month</w:t>
            </w:r>
          </w:p>
        </w:tc>
      </w:tr>
      <w:tr>
        <w:tc>
          <w:tcPr>
            <w:tcW w:type="dxa" w:w="3060"/>
            <w:tcMar>
              <w:top w:type="dxa" w:w="80"/>
              <w:left w:type="dxa" w:w="120"/>
              <w:bottom w:type="dxa" w:w="80"/>
              <w:right w:type="dxa" w:w="120"/>
            </w:tcMar>
          </w:tcPr>
          <w:p>
            <w:r>
              <w:rPr>
                <w:b w:val="false"/>
                <w:bCs w:val="false"/>
                <w:sz w:val="21"/>
                <w:szCs w:val="21"/>
              </w:rPr>
              <w:t xml:space="preserve">Funded live brokerage account</w:t>
            </w:r>
          </w:p>
        </w:tc>
        <w:tc>
          <w:tcPr>
            <w:tcW w:type="dxa" w:w="3700"/>
            <w:tcMar>
              <w:top w:type="dxa" w:w="80"/>
              <w:left w:type="dxa" w:w="120"/>
              <w:bottom w:type="dxa" w:w="80"/>
              <w:right w:type="dxa" w:w="120"/>
            </w:tcMar>
          </w:tcPr>
          <w:p>
            <w:r>
              <w:rPr>
                <w:b w:val="false"/>
                <w:bCs w:val="false"/>
                <w:sz w:val="21"/>
                <w:szCs w:val="21"/>
              </w:rPr>
              <w:t xml:space="preserve">Tradovate issues an API key only to a live account holding over $1,000; simulated balances do not qualify</w:t>
            </w:r>
          </w:p>
        </w:tc>
        <w:tc>
          <w:tcPr>
            <w:tcW w:type="dxa" w:w="2600"/>
            <w:tcMar>
              <w:top w:type="dxa" w:w="80"/>
              <w:left w:type="dxa" w:w="120"/>
              <w:bottom w:type="dxa" w:w="80"/>
              <w:right w:type="dxa" w:w="120"/>
            </w:tcMar>
          </w:tcPr>
          <w:p>
            <w:r>
              <w:rPr>
                <w:b w:val="false"/>
                <w:bCs w:val="false"/>
                <w:sz w:val="21"/>
                <w:szCs w:val="21"/>
              </w:rPr>
              <w:t xml:space="preserve">$1,000 capital requirement (not a fee)</w:t>
            </w:r>
          </w:p>
        </w:tc>
      </w:tr>
      <w:tr>
        <w:tc>
          <w:tcPr>
            <w:tcW w:type="dxa" w:w="3060"/>
            <w:tcMar>
              <w:top w:type="dxa" w:w="80"/>
              <w:left w:type="dxa" w:w="120"/>
              <w:bottom w:type="dxa" w:w="80"/>
              <w:right w:type="dxa" w:w="120"/>
            </w:tcMar>
          </w:tcPr>
          <w:p>
            <w:r>
              <w:rPr>
                <w:b w:val="false"/>
                <w:bCs w:val="false"/>
                <w:sz w:val="21"/>
                <w:szCs w:val="21"/>
              </w:rPr>
              <w:t xml:space="preserve">Real-time CME market data</w:t>
            </w:r>
          </w:p>
        </w:tc>
        <w:tc>
          <w:tcPr>
            <w:tcW w:type="dxa" w:w="3700"/>
            <w:tcMar>
              <w:top w:type="dxa" w:w="80"/>
              <w:left w:type="dxa" w:w="120"/>
              <w:bottom w:type="dxa" w:w="80"/>
              <w:right w:type="dxa" w:w="120"/>
            </w:tcMar>
          </w:tcPr>
          <w:p>
            <w:r>
              <w:rPr>
                <w:b w:val="false"/>
                <w:bCs w:val="false"/>
                <w:sz w:val="21"/>
                <w:szCs w:val="21"/>
              </w:rPr>
              <w:t xml:space="preserve">Supplies the live 1-minute, 4-hour and Daily feeds the strategy reads</w:t>
            </w:r>
          </w:p>
        </w:tc>
        <w:tc>
          <w:tcPr>
            <w:tcW w:type="dxa" w:w="2600"/>
            <w:tcMar>
              <w:top w:type="dxa" w:w="80"/>
              <w:left w:type="dxa" w:w="120"/>
              <w:bottom w:type="dxa" w:w="80"/>
              <w:right w:type="dxa" w:w="120"/>
            </w:tcMar>
          </w:tcPr>
          <w:p>
            <w:r>
              <w:rPr>
                <w:b w:val="false"/>
                <w:bCs w:val="false"/>
                <w:sz w:val="21"/>
                <w:szCs w:val="21"/>
              </w:rPr>
              <w:t xml:space="preserve">≈ $85–135 / month</w:t>
            </w:r>
          </w:p>
        </w:tc>
      </w:tr>
      <w:tr>
        <w:tc>
          <w:tcPr>
            <w:tcW w:type="dxa" w:w="3060"/>
            <w:tcMar>
              <w:top w:type="dxa" w:w="80"/>
              <w:left w:type="dxa" w:w="120"/>
              <w:bottom w:type="dxa" w:w="80"/>
              <w:right w:type="dxa" w:w="120"/>
            </w:tcMar>
          </w:tcPr>
          <w:p>
            <w:r>
              <w:rPr>
                <w:b w:val="false"/>
                <w:bCs w:val="false"/>
                <w:sz w:val="21"/>
                <w:szCs w:val="21"/>
              </w:rPr>
              <w:t xml:space="preserve">CME Individual License Agreement</w:t>
            </w:r>
          </w:p>
        </w:tc>
        <w:tc>
          <w:tcPr>
            <w:tcW w:type="dxa" w:w="3700"/>
            <w:tcMar>
              <w:top w:type="dxa" w:w="80"/>
              <w:left w:type="dxa" w:w="120"/>
              <w:bottom w:type="dxa" w:w="80"/>
              <w:right w:type="dxa" w:w="120"/>
            </w:tcMar>
          </w:tcPr>
          <w:p>
            <w:r>
              <w:rPr>
                <w:b w:val="false"/>
                <w:bCs w:val="false"/>
                <w:sz w:val="21"/>
                <w:szCs w:val="21"/>
              </w:rPr>
              <w:t xml:space="preserve">Required to stream live quotes through an API; order placement alone does not require it</w:t>
            </w:r>
          </w:p>
        </w:tc>
        <w:tc>
          <w:tcPr>
            <w:tcW w:type="dxa" w:w="2600"/>
            <w:tcMar>
              <w:top w:type="dxa" w:w="80"/>
              <w:left w:type="dxa" w:w="120"/>
              <w:bottom w:type="dxa" w:w="80"/>
              <w:right w:type="dxa" w:w="120"/>
            </w:tcMar>
          </w:tcPr>
          <w:p>
            <w:r>
              <w:rPr>
                <w:b w:val="false"/>
                <w:bCs w:val="false"/>
                <w:sz w:val="21"/>
                <w:szCs w:val="21"/>
              </w:rPr>
              <w:t xml:space="preserve">≈ $290–500 / month</w:t>
            </w:r>
          </w:p>
        </w:tc>
      </w:tr>
      <w:tr>
        <w:tc>
          <w:tcPr>
            <w:tcW w:type="dxa" w:w="3060"/>
            <w:tcMar>
              <w:top w:type="dxa" w:w="80"/>
              <w:left w:type="dxa" w:w="120"/>
              <w:bottom w:type="dxa" w:w="80"/>
              <w:right w:type="dxa" w:w="120"/>
            </w:tcMar>
          </w:tcPr>
          <w:p>
            <w:r>
              <w:rPr>
                <w:b w:val="false"/>
                <w:bCs w:val="false"/>
                <w:sz w:val="21"/>
                <w:szCs w:val="21"/>
              </w:rPr>
              <w:t xml:space="preserve">Always-on server or VPS</w:t>
            </w:r>
          </w:p>
        </w:tc>
        <w:tc>
          <w:tcPr>
            <w:tcW w:type="dxa" w:w="3700"/>
            <w:tcMar>
              <w:top w:type="dxa" w:w="80"/>
              <w:left w:type="dxa" w:w="120"/>
              <w:bottom w:type="dxa" w:w="80"/>
              <w:right w:type="dxa" w:w="120"/>
            </w:tcMar>
          </w:tcPr>
          <w:p>
            <w:r>
              <w:rPr>
                <w:b w:val="false"/>
                <w:bCs w:val="false"/>
                <w:sz w:val="21"/>
                <w:szCs w:val="21"/>
              </w:rPr>
              <w:t xml:space="preserve">Runs the system unattended overnight and across both sessions</w:t>
            </w:r>
          </w:p>
        </w:tc>
        <w:tc>
          <w:tcPr>
            <w:tcW w:type="dxa" w:w="2600"/>
            <w:tcMar>
              <w:top w:type="dxa" w:w="80"/>
              <w:left w:type="dxa" w:w="120"/>
              <w:bottom w:type="dxa" w:w="80"/>
              <w:right w:type="dxa" w:w="120"/>
            </w:tcMar>
          </w:tcPr>
          <w:p>
            <w:r>
              <w:rPr>
                <w:b w:val="false"/>
                <w:bCs w:val="false"/>
                <w:sz w:val="21"/>
                <w:szCs w:val="21"/>
              </w:rPr>
              <w:t xml:space="preserve">≈ $20–100 / month</w:t>
            </w:r>
          </w:p>
        </w:tc>
      </w:tr>
      <w:tr>
        <w:tc>
          <w:tcPr>
            <w:tcW w:type="dxa" w:w="3060"/>
            <w:shd w:fill="F4F4F4" w:color="auto" w:val="clear"/>
            <w:tcMar>
              <w:top w:type="dxa" w:w="80"/>
              <w:left w:type="dxa" w:w="120"/>
              <w:bottom w:type="dxa" w:w="80"/>
              <w:right w:type="dxa" w:w="120"/>
            </w:tcMar>
          </w:tcPr>
          <w:p>
            <w:r>
              <w:rPr>
                <w:b/>
                <w:bCs/>
                <w:sz w:val="21"/>
                <w:szCs w:val="21"/>
              </w:rPr>
              <w:t xml:space="preserve">Total</w:t>
            </w:r>
          </w:p>
        </w:tc>
        <w:tc>
          <w:tcPr>
            <w:tcW w:type="dxa" w:w="3700"/>
            <w:shd w:fill="F4F4F4" w:color="auto" w:val="clear"/>
            <w:tcMar>
              <w:top w:type="dxa" w:w="80"/>
              <w:left w:type="dxa" w:w="120"/>
              <w:bottom w:type="dxa" w:w="80"/>
              <w:right w:type="dxa" w:w="120"/>
            </w:tcMar>
          </w:tcPr>
          <w:p>
            <w:r>
              <w:rPr>
                <w:b w:val="false"/>
                <w:bCs w:val="false"/>
                <w:sz w:val="21"/>
                <w:szCs w:val="21"/>
              </w:rPr>
              <w:t xml:space="preserve">Recurring cost of live operation</w:t>
            </w:r>
          </w:p>
        </w:tc>
        <w:tc>
          <w:tcPr>
            <w:tcW w:type="dxa" w:w="2600"/>
            <w:shd w:fill="F4F4F4" w:color="auto" w:val="clear"/>
            <w:tcMar>
              <w:top w:type="dxa" w:w="80"/>
              <w:left w:type="dxa" w:w="120"/>
              <w:bottom w:type="dxa" w:w="80"/>
              <w:right w:type="dxa" w:w="120"/>
            </w:tcMar>
          </w:tcPr>
          <w:p>
            <w:r>
              <w:rPr>
                <w:b/>
                <w:bCs/>
                <w:sz w:val="21"/>
                <w:szCs w:val="21"/>
              </w:rPr>
              <w:t xml:space="preserve">≈ $420–760 / month, plus $1,000 capital</w:t>
            </w:r>
          </w:p>
        </w:tc>
      </w:tr>
    </w:tbl>
    <w:p>
      <w:pPr>
        <w:spacing w:after="120" w:line="276"/>
      </w:pPr>
      <w:r>
        <w:rPr>
          <w:sz w:val="22"/>
          <w:szCs w:val="22"/>
        </w:rPr>
        <w:t xml:space="preserve">One further factor raises this figure for the researcher specifically. As of March 2026, CME Group began reclassifying funded proprietary-firm traders as “Professional” rather than “Non-Professional” subscribers. Professional status raises per-exchange market-data fees from roughly $12 per month to roughly $124 per month. Because the researcher holds a proprietary-firm account, the professional rate would apply, pushing the upper estimate higher still.</w:t>
      </w:r>
    </w:p>
    <w:p>
      <w:pPr>
        <w:pStyle w:val="Heading2"/>
        <w:spacing w:after="120" w:before="240"/>
      </w:pPr>
      <w:r>
        <w:rPr>
          <w:b/>
          <w:bCs/>
          <w:color w:val="333333"/>
          <w:sz w:val="24"/>
          <w:szCs w:val="24"/>
        </w:rPr>
        <w:t xml:space="preserve">Cost justification for the chosen design</w:t>
      </w:r>
    </w:p>
    <w:p>
      <w:pPr>
        <w:spacing w:after="120" w:line="276"/>
      </w:pPr>
      <w:r>
        <w:rPr>
          <w:sz w:val="22"/>
          <w:szCs w:val="22"/>
        </w:rPr>
        <w:t xml:space="preserve">The historical simulation costs approximately $30–105 as a single one-off payment. Live implementation would cost approximately $420–760 every month, or roughly $5,000–9,100 per year, before any capital is committed to trading. Live operation is therefore between fifty and three hundred times more expensive than the historical simulation, and the expense is recurring rather than one-off.</w:t>
      </w:r>
    </w:p>
    <w:p>
      <w:pPr>
        <w:spacing w:after="120" w:line="276"/>
      </w:pPr>
      <w:r>
        <w:rPr>
          <w:sz w:val="22"/>
          <w:szCs w:val="22"/>
        </w:rPr>
        <w:t xml:space="preserve">The historical design is also the stronger experiment independently of cost. All three arms replay the same 24 months of data, so every arm encounters identical market conditions. A live study would have to run the arms one after another, meaning each arm would trade a different period — a confounding variable that would weaken every comparison drawn between them. The historical design removes that confound entirely and is fully reproducible by another researcher, which a live forward test can never be.</w:t>
      </w:r>
    </w:p>
    <w:p>
      <w:pPr>
        <w:spacing w:after="120" w:line="276"/>
      </w:pPr>
      <w:r>
        <w:rPr>
          <w:i/>
          <w:iCs/>
          <w:sz w:val="22"/>
          <w:szCs w:val="22"/>
        </w:rPr>
        <w:t xml:space="preserve">Limitation of these estimates: the figures above are taken from published broker and vendor pricing at the time of writing and are quoted as ranges because they vary by exchange, subscriber classification, and vendor package. They should be verified directly with the providers before any money is committed.</w:t>
      </w:r>
    </w:p>
    <w:p>
      <w:pPr>
        <w:pStyle w:val="Heading1"/>
        <w:spacing w:after="160" w:before="320"/>
      </w:pPr>
      <w:r>
        <w:rPr>
          <w:b/>
          <w:bCs/>
          <w:color w:val="1A1A1A"/>
          <w:sz w:val="28"/>
          <w:szCs w:val="28"/>
        </w:rPr>
        <w:t xml:space="preserve">Safety and Ethics</w:t>
      </w:r>
    </w:p>
    <w:p>
      <w:pPr>
        <w:spacing w:after="120" w:line="276"/>
      </w:pPr>
      <w:r>
        <w:rPr>
          <w:sz w:val="22"/>
          <w:szCs w:val="22"/>
        </w:rPr>
        <w:t xml:space="preserve">This study is conducted entirely on archived historical price files. No brokerage account is connected, no orders are transmitted to any exchange, and no capital — real or simulated — is placed at risk at any point. There is therefore no financial risk to the researcher or to any other party, and no possibility of affecting a live market.</w:t>
      </w:r>
    </w:p>
    <w:p>
      <w:pPr>
        <w:spacing w:after="120" w:line="276"/>
      </w:pPr>
      <w:r>
        <w:rPr>
          <w:sz w:val="22"/>
          <w:szCs w:val="22"/>
        </w:rPr>
        <w:t xml:space="preserve">The researcher holds a proprietary-firm simulated trading account. That account is deliberately excluded from this study. Proprietary trading firms prohibit fully autonomous systems that manage both entry and exit without human involvement, and connecting this system to such an account would breach those terms. The historical simulation design avoids this issue entirely.</w:t>
      </w:r>
    </w:p>
    <w:p>
      <w:pPr>
        <w:pStyle w:val="Heading1"/>
        <w:spacing w:after="160" w:before="320"/>
      </w:pPr>
      <w:r>
        <w:rPr>
          <w:b/>
          <w:bCs/>
          <w:color w:val="1A1A1A"/>
          <w:sz w:val="28"/>
          <w:szCs w:val="28"/>
        </w:rPr>
        <w:t xml:space="preserve">Procedures</w:t>
      </w:r>
    </w:p>
    <w:p>
      <w:pPr>
        <w:pStyle w:val="Heading2"/>
        <w:spacing w:after="120" w:before="240"/>
      </w:pPr>
      <w:r>
        <w:rPr>
          <w:b/>
          <w:bCs/>
          <w:color w:val="333333"/>
          <w:sz w:val="24"/>
          <w:szCs w:val="24"/>
        </w:rPr>
        <w:t xml:space="preserve">Part A — Setup (carried out once, by the researcher)</w:t>
      </w:r>
    </w:p>
    <w:p>
      <w:pPr>
        <w:spacing w:after="100" w:line="276"/>
        <w:ind w:left="720" w:hanging="420"/>
      </w:pPr>
      <w:r>
        <w:rPr>
          <w:b/>
          <w:bCs/>
          <w:sz w:val="22"/>
          <w:szCs w:val="22"/>
        </w:rPr>
        <w:t xml:space="preserve">1.</w:t>
      </w:r>
      <w:r>
        <w:rPr>
          <w:sz w:val="22"/>
          <w:szCs w:val="22"/>
        </w:rPr>
        <w:t xml:space="preserve">  Install Python 3.11 or later on the computer that will run the simulation, and confirm the version by running python3 --version.</w:t>
      </w:r>
    </w:p>
    <w:p>
      <w:pPr>
        <w:spacing w:after="100" w:line="276"/>
        <w:ind w:left="720" w:hanging="420"/>
      </w:pPr>
      <w:r>
        <w:rPr>
          <w:b/>
          <w:bCs/>
          <w:sz w:val="22"/>
          <w:szCs w:val="22"/>
        </w:rPr>
        <w:t xml:space="preserve">2.</w:t>
      </w:r>
      <w:r>
        <w:rPr>
          <w:sz w:val="22"/>
          <w:szCs w:val="22"/>
        </w:rPr>
        <w:t xml:space="preserve">  Download the STDVBOT software package and install it by running pip install -e . from the package's root folder.</w:t>
      </w:r>
    </w:p>
    <w:p>
      <w:pPr>
        <w:spacing w:after="100" w:line="276"/>
        <w:ind w:left="720" w:hanging="420"/>
      </w:pPr>
      <w:r>
        <w:rPr>
          <w:b/>
          <w:bCs/>
          <w:sz w:val="22"/>
          <w:szCs w:val="22"/>
        </w:rPr>
        <w:t xml:space="preserve">3.</w:t>
      </w:r>
      <w:r>
        <w:rPr>
          <w:sz w:val="22"/>
          <w:szCs w:val="22"/>
        </w:rPr>
        <w:t xml:space="preserve">  Purchase and download 24 months of 1-minute open-high-low-close-volume (OHLCV) price data for the MNQ futures contract from a historical market-data vendor. Save the file as data/mnq_1m.csv.</w:t>
      </w:r>
    </w:p>
    <w:p>
      <w:pPr>
        <w:spacing w:after="100" w:line="276"/>
        <w:ind w:left="720" w:hanging="420"/>
      </w:pPr>
      <w:r>
        <w:rPr>
          <w:b/>
          <w:bCs/>
          <w:sz w:val="22"/>
          <w:szCs w:val="22"/>
        </w:rPr>
        <w:t xml:space="preserve">4.</w:t>
      </w:r>
      <w:r>
        <w:rPr>
          <w:sz w:val="22"/>
          <w:szCs w:val="22"/>
        </w:rPr>
        <w:t xml:space="preserve">  Confirm the CSV file has six columns in the order timestamp, open, high, low, close, volume, and that all timestamps are recorded in US Eastern Time. Record the vendor name, product name, and download date in the lab notebook; this establishes the data provenance of the study.</w:t>
      </w:r>
    </w:p>
    <w:p>
      <w:pPr>
        <w:spacing w:after="100" w:line="276"/>
        <w:ind w:left="720" w:hanging="420"/>
      </w:pPr>
      <w:r>
        <w:rPr>
          <w:b/>
          <w:bCs/>
          <w:sz w:val="22"/>
          <w:szCs w:val="22"/>
        </w:rPr>
        <w:t xml:space="preserve">5.</w:t>
      </w:r>
      <w:r>
        <w:rPr>
          <w:sz w:val="22"/>
          <w:szCs w:val="22"/>
        </w:rPr>
        <w:t xml:space="preserve">  Run the command stdvbot verify-data data/mnq_1m.csv and confirm it reports the expected date range, the total number of bars, and zero malformed rows. Do not continue if any trading session is missing more than 10% of its expected bars.</w:t>
      </w:r>
    </w:p>
    <w:p>
      <w:pPr>
        <w:spacing w:after="100" w:line="276"/>
        <w:ind w:left="720" w:hanging="420"/>
      </w:pPr>
      <w:r>
        <w:rPr>
          <w:b/>
          <w:bCs/>
          <w:sz w:val="22"/>
          <w:szCs w:val="22"/>
        </w:rPr>
        <w:t xml:space="preserve">6.</w:t>
      </w:r>
      <w:r>
        <w:rPr>
          <w:sz w:val="22"/>
          <w:szCs w:val="22"/>
        </w:rPr>
        <w:t xml:space="preserve">  Set the strategy parameters in the configuration file: risk per trade = 1.0% of equity; maximum concurrent positions = 1; daily loss limit = 3.0% of start-of-day equity; confluence threshold = 2; stagnant-trade cutoff = 30 minutes; and the three price-tolerance values for VWAP, round numbers, and points of interest.</w:t>
      </w:r>
    </w:p>
    <w:p>
      <w:pPr>
        <w:spacing w:after="100" w:line="276"/>
        <w:ind w:left="720" w:hanging="420"/>
      </w:pPr>
      <w:r>
        <w:rPr>
          <w:b/>
          <w:bCs/>
          <w:sz w:val="22"/>
          <w:szCs w:val="22"/>
        </w:rPr>
        <w:t xml:space="preserve">7.</w:t>
      </w:r>
      <w:r>
        <w:rPr>
          <w:sz w:val="22"/>
          <w:szCs w:val="22"/>
        </w:rPr>
        <w:t xml:space="preserve">  Record every parameter value from step 6 in the lab notebook. These are the controlled variables and must not be altered while any experimental arm is running.</w:t>
      </w:r>
    </w:p>
    <w:p>
      <w:pPr>
        <w:spacing w:after="100" w:line="276"/>
        <w:ind w:left="720" w:hanging="420"/>
      </w:pPr>
      <w:r>
        <w:rPr>
          <w:b/>
          <w:bCs/>
          <w:sz w:val="22"/>
          <w:szCs w:val="22"/>
        </w:rPr>
        <w:t xml:space="preserve">8.</w:t>
      </w:r>
      <w:r>
        <w:rPr>
          <w:sz w:val="22"/>
          <w:szCs w:val="22"/>
        </w:rPr>
        <w:t xml:space="preserve">  Select the experimental arm for this run by setting the arm parameter to regime_gated, permissive, or random_control. Run one arm at a time and complete it fully before switching.</w:t>
      </w:r>
    </w:p>
    <w:p>
      <w:pPr>
        <w:pStyle w:val="Heading2"/>
        <w:spacing w:after="120" w:before="240"/>
      </w:pPr>
      <w:r>
        <w:rPr>
          <w:b/>
          <w:bCs/>
          <w:color w:val="333333"/>
          <w:sz w:val="24"/>
          <w:szCs w:val="24"/>
        </w:rPr>
        <w:t xml:space="preserve">Part B — Simulated decision cycle (carried out by the program for each trading session in the dataset, in chronological order)</w:t>
      </w:r>
    </w:p>
    <w:p>
      <w:pPr>
        <w:spacing w:after="100" w:line="276"/>
        <w:ind w:left="720" w:hanging="420"/>
      </w:pPr>
      <w:r>
        <w:rPr>
          <w:b/>
          <w:bCs/>
          <w:sz w:val="22"/>
          <w:szCs w:val="22"/>
        </w:rPr>
        <w:t xml:space="preserve">9.</w:t>
      </w:r>
      <w:r>
        <w:rPr>
          <w:sz w:val="22"/>
          <w:szCs w:val="22"/>
        </w:rPr>
        <w:t xml:space="preserve">  For the trading session being simulated, load all closed 4-hour and Daily price bars that occurred before it. The program never reads a bar from the future, which prevents look-ahead bias.</w:t>
      </w:r>
    </w:p>
    <w:p>
      <w:pPr>
        <w:spacing w:after="100" w:line="276"/>
        <w:ind w:left="720" w:hanging="420"/>
      </w:pPr>
      <w:r>
        <w:rPr>
          <w:b/>
          <w:bCs/>
          <w:sz w:val="22"/>
          <w:szCs w:val="22"/>
        </w:rPr>
        <w:t xml:space="preserve">10.</w:t>
      </w:r>
      <w:r>
        <w:rPr>
          <w:sz w:val="22"/>
          <w:szCs w:val="22"/>
        </w:rPr>
        <w:t xml:space="preserve">  Compute the higher-timeframe bias from those bars and record it as either bullish or bearish.</w:t>
      </w:r>
    </w:p>
    <w:p>
      <w:pPr>
        <w:spacing w:after="100" w:line="276"/>
        <w:ind w:left="720" w:hanging="420"/>
      </w:pPr>
      <w:r>
        <w:rPr>
          <w:b/>
          <w:bCs/>
          <w:sz w:val="22"/>
          <w:szCs w:val="22"/>
        </w:rPr>
        <w:t xml:space="preserve">11.</w:t>
      </w:r>
      <w:r>
        <w:rPr>
          <w:sz w:val="22"/>
          <w:szCs w:val="22"/>
        </w:rPr>
        <w:t xml:space="preserve">  Classify the day's market regime from the 4-hour bars and record it as either trending or ranging.</w:t>
      </w:r>
    </w:p>
    <w:p>
      <w:pPr>
        <w:spacing w:after="100" w:line="276"/>
        <w:ind w:left="720" w:hanging="420"/>
      </w:pPr>
      <w:r>
        <w:rPr>
          <w:b/>
          <w:bCs/>
          <w:sz w:val="22"/>
          <w:szCs w:val="22"/>
        </w:rPr>
        <w:t xml:space="preserve">12.</w:t>
      </w:r>
      <w:r>
        <w:rPr>
          <w:sz w:val="22"/>
          <w:szCs w:val="22"/>
        </w:rPr>
        <w:t xml:space="preserve">  If the arm is regime_gated and the regime is trending, set the day's mode to A+ only. Under this mode only levels graded 4.5 are eligible to trade, and every level graded 2.0-2.5 is skipped automatically without exception.</w:t>
      </w:r>
    </w:p>
    <w:p>
      <w:pPr>
        <w:spacing w:after="100" w:line="276"/>
        <w:ind w:left="720" w:hanging="420"/>
      </w:pPr>
      <w:r>
        <w:rPr>
          <w:b/>
          <w:bCs/>
          <w:sz w:val="22"/>
          <w:szCs w:val="22"/>
        </w:rPr>
        <w:t xml:space="preserve">13.</w:t>
      </w:r>
      <w:r>
        <w:rPr>
          <w:sz w:val="22"/>
          <w:szCs w:val="22"/>
        </w:rPr>
        <w:t xml:space="preserve">  If the arm is regime_gated and the regime is ranging, set the day's mode to full. Under this mode levels graded 4.5 and levels graded 2.0-2.5 are both eligible.</w:t>
      </w:r>
    </w:p>
    <w:p>
      <w:pPr>
        <w:spacing w:after="100" w:line="276"/>
        <w:ind w:left="720" w:hanging="420"/>
      </w:pPr>
      <w:r>
        <w:rPr>
          <w:b/>
          <w:bCs/>
          <w:sz w:val="22"/>
          <w:szCs w:val="22"/>
        </w:rPr>
        <w:t xml:space="preserve">14.</w:t>
      </w:r>
      <w:r>
        <w:rPr>
          <w:sz w:val="22"/>
          <w:szCs w:val="22"/>
        </w:rPr>
        <w:t xml:space="preserve">  If the arm is permissive or random_control, set the day's mode to full regardless of the regime. This step is the manipulation of the independent variable.</w:t>
      </w:r>
    </w:p>
    <w:p>
      <w:pPr>
        <w:spacing w:after="100" w:line="276"/>
        <w:ind w:left="720" w:hanging="420"/>
      </w:pPr>
      <w:r>
        <w:rPr>
          <w:b/>
          <w:bCs/>
          <w:sz w:val="22"/>
          <w:szCs w:val="22"/>
        </w:rPr>
        <w:t xml:space="preserve">15.</w:t>
      </w:r>
      <w:r>
        <w:rPr>
          <w:sz w:val="22"/>
          <w:szCs w:val="22"/>
        </w:rPr>
        <w:t xml:space="preserve">  Compute and store the day's points of interest as fixed prices: the prior day's high, the prior day's low, the prior Asia-session high and low, and the prior New York-session high and low.</w:t>
      </w:r>
    </w:p>
    <w:p>
      <w:pPr>
        <w:spacing w:after="100" w:line="276"/>
        <w:ind w:left="720" w:hanging="420"/>
      </w:pPr>
      <w:r>
        <w:rPr>
          <w:b/>
          <w:bCs/>
          <w:sz w:val="22"/>
          <w:szCs w:val="22"/>
        </w:rPr>
        <w:t xml:space="preserve">16.</w:t>
      </w:r>
      <w:r>
        <w:rPr>
          <w:sz w:val="22"/>
          <w:szCs w:val="22"/>
        </w:rPr>
        <w:t xml:space="preserve">  For each session-open window in order (Asia first, then New York), collect every 1-minute bar that formed inside that window. This group of bars is called the leg.</w:t>
      </w:r>
    </w:p>
    <w:p>
      <w:pPr>
        <w:spacing w:after="100" w:line="276"/>
        <w:ind w:left="720" w:hanging="420"/>
      </w:pPr>
      <w:r>
        <w:rPr>
          <w:b/>
          <w:bCs/>
          <w:sz w:val="22"/>
          <w:szCs w:val="22"/>
        </w:rPr>
        <w:t xml:space="preserve">17.</w:t>
      </w:r>
      <w:r>
        <w:rPr>
          <w:sz w:val="22"/>
          <w:szCs w:val="22"/>
        </w:rPr>
        <w:t xml:space="preserve">  If the leg consists of exactly one bar, discard it and record the reason code single_candle_leg.</w:t>
      </w:r>
    </w:p>
    <w:p>
      <w:pPr>
        <w:spacing w:after="100" w:line="276"/>
        <w:ind w:left="720" w:hanging="420"/>
      </w:pPr>
      <w:r>
        <w:rPr>
          <w:b/>
          <w:bCs/>
          <w:sz w:val="22"/>
          <w:szCs w:val="22"/>
        </w:rPr>
        <w:t xml:space="preserve">18.</w:t>
      </w:r>
      <w:r>
        <w:rPr>
          <w:sz w:val="22"/>
          <w:szCs w:val="22"/>
        </w:rPr>
        <w:t xml:space="preserve">  If the leg consists of two or more bars, compare the direction of the leg to the higher-timeframe bias computed in step 10.</w:t>
      </w:r>
    </w:p>
    <w:p>
      <w:pPr>
        <w:spacing w:after="100" w:line="276"/>
        <w:ind w:left="720" w:hanging="420"/>
      </w:pPr>
      <w:r>
        <w:rPr>
          <w:b/>
          <w:bCs/>
          <w:sz w:val="22"/>
          <w:szCs w:val="22"/>
        </w:rPr>
        <w:t xml:space="preserve">19.</w:t>
      </w:r>
      <w:r>
        <w:rPr>
          <w:sz w:val="22"/>
          <w:szCs w:val="22"/>
        </w:rPr>
        <w:t xml:space="preserve">  If the leg direction matches the bias, discard it and record the reason code agreed_with_bias, because a move agreeing with the trend is continuation rather than manipulation.</w:t>
      </w:r>
    </w:p>
    <w:p>
      <w:pPr>
        <w:spacing w:after="100" w:line="276"/>
        <w:ind w:left="720" w:hanging="420"/>
      </w:pPr>
      <w:r>
        <w:rPr>
          <w:b/>
          <w:bCs/>
          <w:sz w:val="22"/>
          <w:szCs w:val="22"/>
        </w:rPr>
        <w:t xml:space="preserve">20.</w:t>
      </w:r>
      <w:r>
        <w:rPr>
          <w:sz w:val="22"/>
          <w:szCs w:val="22"/>
        </w:rPr>
        <w:t xml:space="preserve">  If the leg direction opposes the bias, accept it as a valid candidate and continue to step 21.</w:t>
      </w:r>
    </w:p>
    <w:p>
      <w:pPr>
        <w:spacing w:after="100" w:line="276"/>
        <w:ind w:left="720" w:hanging="420"/>
      </w:pPr>
      <w:r>
        <w:rPr>
          <w:b/>
          <w:bCs/>
          <w:sz w:val="22"/>
          <w:szCs w:val="22"/>
        </w:rPr>
        <w:t xml:space="preserve">21.</w:t>
      </w:r>
      <w:r>
        <w:rPr>
          <w:sz w:val="22"/>
          <w:szCs w:val="22"/>
        </w:rPr>
        <w:t xml:space="preserve">  Project the inverse-Fibonacci price levels from the candidate leg's high and low, and store them as the session's level grid.</w:t>
      </w:r>
    </w:p>
    <w:p>
      <w:pPr>
        <w:spacing w:after="100" w:line="276"/>
        <w:ind w:left="720" w:hanging="420"/>
      </w:pPr>
      <w:r>
        <w:rPr>
          <w:b/>
          <w:bCs/>
          <w:sz w:val="22"/>
          <w:szCs w:val="22"/>
        </w:rPr>
        <w:t xml:space="preserve">22.</w:t>
      </w:r>
      <w:r>
        <w:rPr>
          <w:sz w:val="22"/>
          <w:szCs w:val="22"/>
        </w:rPr>
        <w:t xml:space="preserve">  Step forward through each subsequent 1-minute bar, checking whether its price touches any level in the grid.</w:t>
      </w:r>
    </w:p>
    <w:p>
      <w:pPr>
        <w:spacing w:after="100" w:line="276"/>
        <w:ind w:left="720" w:hanging="420"/>
      </w:pPr>
      <w:r>
        <w:rPr>
          <w:b/>
          <w:bCs/>
          <w:sz w:val="22"/>
          <w:szCs w:val="22"/>
        </w:rPr>
        <w:t xml:space="preserve">23.</w:t>
      </w:r>
      <w:r>
        <w:rPr>
          <w:sz w:val="22"/>
          <w:szCs w:val="22"/>
        </w:rPr>
        <w:t xml:space="preserve">  When a bar touches a level, evaluate four true-or-false confluence checks on that bar: (a) whether a candlestick reversal pattern occurs; (b) whether price is within tolerance of the session VWAP; (c) whether price is within tolerance of a round number; and (d) whether price is within tolerance of a stored point of interest from step 15.</w:t>
      </w:r>
    </w:p>
    <w:p>
      <w:pPr>
        <w:spacing w:after="100" w:line="276"/>
        <w:ind w:left="720" w:hanging="420"/>
      </w:pPr>
      <w:r>
        <w:rPr>
          <w:b/>
          <w:bCs/>
          <w:sz w:val="22"/>
          <w:szCs w:val="22"/>
        </w:rPr>
        <w:t xml:space="preserve">24.</w:t>
      </w:r>
      <w:r>
        <w:rPr>
          <w:sz w:val="22"/>
          <w:szCs w:val="22"/>
        </w:rPr>
        <w:t xml:space="preserve">  Add up the number of true results to produce a confluence score between 0 and 4, and record both the score and the four individual results.</w:t>
      </w:r>
    </w:p>
    <w:p>
      <w:pPr>
        <w:spacing w:after="100" w:line="276"/>
        <w:ind w:left="720" w:hanging="420"/>
      </w:pPr>
      <w:r>
        <w:rPr>
          <w:b/>
          <w:bCs/>
          <w:sz w:val="22"/>
          <w:szCs w:val="22"/>
        </w:rPr>
        <w:t xml:space="preserve">25.</w:t>
      </w:r>
      <w:r>
        <w:rPr>
          <w:sz w:val="22"/>
          <w:szCs w:val="22"/>
        </w:rPr>
        <w:t xml:space="preserve">  If the touched level is graded 2.0-2.5 and the mode is full, continue only when the confluence score is 2 or greater; otherwise skip the trade and record the reason code low_confluence_score.</w:t>
      </w:r>
    </w:p>
    <w:p>
      <w:pPr>
        <w:spacing w:after="100" w:line="276"/>
        <w:ind w:left="720" w:hanging="420"/>
      </w:pPr>
      <w:r>
        <w:rPr>
          <w:b/>
          <w:bCs/>
          <w:sz w:val="22"/>
          <w:szCs w:val="22"/>
        </w:rPr>
        <w:t xml:space="preserve">26.</w:t>
      </w:r>
      <w:r>
        <w:rPr>
          <w:sz w:val="22"/>
          <w:szCs w:val="22"/>
        </w:rPr>
        <w:t xml:space="preserve">  If the touched level is graded 2.0-2.5 and the mode is A+ only, skip the trade regardless of the score and record the reason code a_plus_mode_excluded.</w:t>
      </w:r>
    </w:p>
    <w:p>
      <w:pPr>
        <w:spacing w:after="100" w:line="276"/>
        <w:ind w:left="720" w:hanging="420"/>
      </w:pPr>
      <w:r>
        <w:rPr>
          <w:b/>
          <w:bCs/>
          <w:sz w:val="22"/>
          <w:szCs w:val="22"/>
        </w:rPr>
        <w:t xml:space="preserve">27.</w:t>
      </w:r>
      <w:r>
        <w:rPr>
          <w:sz w:val="22"/>
          <w:szCs w:val="22"/>
        </w:rPr>
        <w:t xml:space="preserve">  If the touched level is graded 4.5, continue regardless of mode and score.</w:t>
      </w:r>
    </w:p>
    <w:p>
      <w:pPr>
        <w:spacing w:after="100" w:line="276"/>
        <w:ind w:left="720" w:hanging="420"/>
      </w:pPr>
      <w:r>
        <w:rPr>
          <w:b/>
          <w:bCs/>
          <w:sz w:val="22"/>
          <w:szCs w:val="22"/>
        </w:rPr>
        <w:t xml:space="preserve">28.</w:t>
      </w:r>
      <w:r>
        <w:rPr>
          <w:sz w:val="22"/>
          <w:szCs w:val="22"/>
        </w:rPr>
        <w:t xml:space="preserve">  Set the trade direction opposite to the direction of the leg's push. In the random_control arm only, assign the direction by a seeded pseudorandom coin flip instead, and record the seed so the result is reproducible.</w:t>
      </w:r>
    </w:p>
    <w:p>
      <w:pPr>
        <w:spacing w:after="100" w:line="276"/>
        <w:ind w:left="720" w:hanging="420"/>
      </w:pPr>
      <w:r>
        <w:rPr>
          <w:b/>
          <w:bCs/>
          <w:sz w:val="22"/>
          <w:szCs w:val="22"/>
        </w:rPr>
        <w:t xml:space="preserve">29.</w:t>
      </w:r>
      <w:r>
        <w:rPr>
          <w:sz w:val="22"/>
          <w:szCs w:val="22"/>
        </w:rPr>
        <w:t xml:space="preserve">  Compute the stop price as the next inverse-Fibonacci tier beyond the entry level, and compute the stop distance as the absolute difference between the entry price and the stop price.</w:t>
      </w:r>
    </w:p>
    <w:p>
      <w:pPr>
        <w:spacing w:after="100" w:line="276"/>
        <w:ind w:left="720" w:hanging="420"/>
      </w:pPr>
      <w:r>
        <w:rPr>
          <w:b/>
          <w:bCs/>
          <w:sz w:val="22"/>
          <w:szCs w:val="22"/>
        </w:rPr>
        <w:t xml:space="preserve">30.</w:t>
      </w:r>
      <w:r>
        <w:rPr>
          <w:sz w:val="22"/>
          <w:szCs w:val="22"/>
        </w:rPr>
        <w:t xml:space="preserve">  Compute the risk amount as 1.0% of the current simulated account equity, then compute the position size as the risk amount divided by the stop distance, rounded down to a whole number of contracts.</w:t>
      </w:r>
    </w:p>
    <w:p>
      <w:pPr>
        <w:spacing w:after="100" w:line="276"/>
        <w:ind w:left="720" w:hanging="420"/>
      </w:pPr>
      <w:r>
        <w:rPr>
          <w:b/>
          <w:bCs/>
          <w:sz w:val="22"/>
          <w:szCs w:val="22"/>
        </w:rPr>
        <w:t xml:space="preserve">31.</w:t>
      </w:r>
      <w:r>
        <w:rPr>
          <w:sz w:val="22"/>
          <w:szCs w:val="22"/>
        </w:rPr>
        <w:t xml:space="preserve">  If the rounded position size is zero, skip the trade and record the reason code size_below_one_contract.</w:t>
      </w:r>
    </w:p>
    <w:p>
      <w:pPr>
        <w:spacing w:after="100" w:line="276"/>
        <w:ind w:left="720" w:hanging="420"/>
      </w:pPr>
      <w:r>
        <w:rPr>
          <w:b/>
          <w:bCs/>
          <w:sz w:val="22"/>
          <w:szCs w:val="22"/>
        </w:rPr>
        <w:t xml:space="preserve">32.</w:t>
      </w:r>
      <w:r>
        <w:rPr>
          <w:sz w:val="22"/>
          <w:szCs w:val="22"/>
        </w:rPr>
        <w:t xml:space="preserve">  Set the profit target to the session VWAP. If price has already passed the VWAP in the trade's favour at the moment of entry, set the target to the nearest opposing point of interest instead.</w:t>
      </w:r>
    </w:p>
    <w:p>
      <w:pPr>
        <w:spacing w:after="100" w:line="276"/>
        <w:ind w:left="720" w:hanging="420"/>
      </w:pPr>
      <w:r>
        <w:rPr>
          <w:b/>
          <w:bCs/>
          <w:sz w:val="22"/>
          <w:szCs w:val="22"/>
        </w:rPr>
        <w:t xml:space="preserve">33.</w:t>
      </w:r>
      <w:r>
        <w:rPr>
          <w:sz w:val="22"/>
          <w:szCs w:val="22"/>
        </w:rPr>
        <w:t xml:space="preserve">  Check whether the daily loss circuit breaker has been triggered. If it has, skip the trade and record the reason code circuit_breaker_tripped.</w:t>
      </w:r>
    </w:p>
    <w:p>
      <w:pPr>
        <w:spacing w:after="100" w:line="276"/>
        <w:ind w:left="720" w:hanging="420"/>
      </w:pPr>
      <w:r>
        <w:rPr>
          <w:b/>
          <w:bCs/>
          <w:sz w:val="22"/>
          <w:szCs w:val="22"/>
        </w:rPr>
        <w:t xml:space="preserve">34.</w:t>
      </w:r>
      <w:r>
        <w:rPr>
          <w:sz w:val="22"/>
          <w:szCs w:val="22"/>
        </w:rPr>
        <w:t xml:space="preserve">  Check whether a simulated position is already open. If one is, skip the trade and record the reason code conflicting_position.</w:t>
      </w:r>
    </w:p>
    <w:p>
      <w:pPr>
        <w:spacing w:after="100" w:line="276"/>
        <w:ind w:left="720" w:hanging="420"/>
      </w:pPr>
      <w:r>
        <w:rPr>
          <w:b/>
          <w:bCs/>
          <w:sz w:val="22"/>
          <w:szCs w:val="22"/>
        </w:rPr>
        <w:t xml:space="preserve">35.</w:t>
      </w:r>
      <w:r>
        <w:rPr>
          <w:sz w:val="22"/>
          <w:szCs w:val="22"/>
        </w:rPr>
        <w:t xml:space="preserve">  If both checks in steps 33 and 34 pass, open the simulated position at the touch price plus one tick of adverse slippage, and subtract the commission.</w:t>
      </w:r>
    </w:p>
    <w:p>
      <w:pPr>
        <w:spacing w:after="100" w:line="276"/>
        <w:ind w:left="720" w:hanging="420"/>
      </w:pPr>
      <w:r>
        <w:rPr>
          <w:b/>
          <w:bCs/>
          <w:sz w:val="22"/>
          <w:szCs w:val="22"/>
        </w:rPr>
        <w:t xml:space="preserve">36.</w:t>
      </w:r>
      <w:r>
        <w:rPr>
          <w:sz w:val="22"/>
          <w:szCs w:val="22"/>
        </w:rPr>
        <w:t xml:space="preserve">  Step forward bar by bar, comparing each bar's high and low against the stop price and the target price.</w:t>
      </w:r>
    </w:p>
    <w:p>
      <w:pPr>
        <w:spacing w:after="100" w:line="276"/>
        <w:ind w:left="720" w:hanging="420"/>
      </w:pPr>
      <w:r>
        <w:rPr>
          <w:b/>
          <w:bCs/>
          <w:sz w:val="22"/>
          <w:szCs w:val="22"/>
        </w:rPr>
        <w:t xml:space="preserve">37.</w:t>
      </w:r>
      <w:r>
        <w:rPr>
          <w:sz w:val="22"/>
          <w:szCs w:val="22"/>
        </w:rPr>
        <w:t xml:space="preserve">  If the target price is reached first, close the position and record a win together with its realised R-multiple.</w:t>
      </w:r>
    </w:p>
    <w:p>
      <w:pPr>
        <w:spacing w:after="100" w:line="276"/>
        <w:ind w:left="720" w:hanging="420"/>
      </w:pPr>
      <w:r>
        <w:rPr>
          <w:b/>
          <w:bCs/>
          <w:sz w:val="22"/>
          <w:szCs w:val="22"/>
        </w:rPr>
        <w:t xml:space="preserve">38.</w:t>
      </w:r>
      <w:r>
        <w:rPr>
          <w:sz w:val="22"/>
          <w:szCs w:val="22"/>
        </w:rPr>
        <w:t xml:space="preserve">  If the stop price is reached first, close the position and record a loss together with its realised R-multiple.</w:t>
      </w:r>
    </w:p>
    <w:p>
      <w:pPr>
        <w:spacing w:after="100" w:line="276"/>
        <w:ind w:left="720" w:hanging="420"/>
      </w:pPr>
      <w:r>
        <w:rPr>
          <w:b/>
          <w:bCs/>
          <w:sz w:val="22"/>
          <w:szCs w:val="22"/>
        </w:rPr>
        <w:t xml:space="preserve">39.</w:t>
      </w:r>
      <w:r>
        <w:rPr>
          <w:sz w:val="22"/>
          <w:szCs w:val="22"/>
        </w:rPr>
        <w:t xml:space="preserve">  If a single bar's range spans both the stop and the target, record the outcome as a loss. This is a deliberately conservative assumption: the order of price movement within a bar cannot be determined from OHLC data, and assuming the favourable order would inflate the results.</w:t>
      </w:r>
    </w:p>
    <w:p>
      <w:pPr>
        <w:spacing w:after="100" w:line="276"/>
        <w:ind w:left="720" w:hanging="420"/>
      </w:pPr>
      <w:r>
        <w:rPr>
          <w:b/>
          <w:bCs/>
          <w:sz w:val="22"/>
          <w:szCs w:val="22"/>
        </w:rPr>
        <w:t xml:space="preserve">40.</w:t>
      </w:r>
      <w:r>
        <w:rPr>
          <w:sz w:val="22"/>
          <w:szCs w:val="22"/>
        </w:rPr>
        <w:t xml:space="preserve">  If neither the stop nor the target is reached within 30 minutes after the session closes, close the position at the market price and record a scratch together with its realised R-multiple.</w:t>
      </w:r>
    </w:p>
    <w:p>
      <w:pPr>
        <w:spacing w:after="100" w:line="276"/>
        <w:ind w:left="720" w:hanging="420"/>
      </w:pPr>
      <w:r>
        <w:rPr>
          <w:b/>
          <w:bCs/>
          <w:sz w:val="22"/>
          <w:szCs w:val="22"/>
        </w:rPr>
        <w:t xml:space="preserve">41.</w:t>
      </w:r>
      <w:r>
        <w:rPr>
          <w:sz w:val="22"/>
          <w:szCs w:val="22"/>
        </w:rPr>
        <w:t xml:space="preserve">  Write one record to the decision log at every decision point, containing the timestamp, session date, arm, mode, regime, bias, level grade, confluence score with its four component results, the decision taken, the reason code, and where applicable the entry, stop, target, position size, and realised R-multiple.</w:t>
      </w:r>
    </w:p>
    <w:p>
      <w:pPr>
        <w:pStyle w:val="Heading2"/>
        <w:spacing w:after="120" w:before="240"/>
      </w:pPr>
      <w:r>
        <w:rPr>
          <w:b/>
          <w:bCs/>
          <w:color w:val="333333"/>
          <w:sz w:val="24"/>
          <w:szCs w:val="24"/>
        </w:rPr>
        <w:t xml:space="preserve">Part C — Data collection and analysis (carried out by the researcher after each arm is complete)</w:t>
      </w:r>
    </w:p>
    <w:p>
      <w:pPr>
        <w:spacing w:after="100" w:line="276"/>
        <w:ind w:left="720" w:hanging="420"/>
      </w:pPr>
      <w:r>
        <w:rPr>
          <w:b/>
          <w:bCs/>
          <w:sz w:val="22"/>
          <w:szCs w:val="22"/>
        </w:rPr>
        <w:t xml:space="preserve">42.</w:t>
      </w:r>
      <w:r>
        <w:rPr>
          <w:sz w:val="22"/>
          <w:szCs w:val="22"/>
        </w:rPr>
        <w:t xml:space="preserve">  Export the arm's decision log to a spreadsheet file using the command stdvbot export-log --out arm_&lt;name&gt;.csv.</w:t>
      </w:r>
    </w:p>
    <w:p>
      <w:pPr>
        <w:spacing w:after="100" w:line="276"/>
        <w:ind w:left="720" w:hanging="420"/>
      </w:pPr>
      <w:r>
        <w:rPr>
          <w:b/>
          <w:bCs/>
          <w:sz w:val="22"/>
          <w:szCs w:val="22"/>
        </w:rPr>
        <w:t xml:space="preserve">43.</w:t>
      </w:r>
      <w:r>
        <w:rPr>
          <w:sz w:val="22"/>
          <w:szCs w:val="22"/>
        </w:rPr>
        <w:t xml:space="preserve">  Verify the integrity of the data by confirming that the number of recorded entries equals the number of recorded exits, and that no position remains open at the end of the dataset.</w:t>
      </w:r>
    </w:p>
    <w:p>
      <w:pPr>
        <w:spacing w:after="100" w:line="276"/>
        <w:ind w:left="720" w:hanging="420"/>
      </w:pPr>
      <w:r>
        <w:rPr>
          <w:b/>
          <w:bCs/>
          <w:sz w:val="22"/>
          <w:szCs w:val="22"/>
        </w:rPr>
        <w:t xml:space="preserve">44.</w:t>
      </w:r>
      <w:r>
        <w:rPr>
          <w:sz w:val="22"/>
          <w:szCs w:val="22"/>
        </w:rPr>
        <w:t xml:space="preserve">  For each arm, compute the mean return per trade in R-multiples, the standard deviation, the win rate, the profit factor, the maximum drawdown, and the total number of trades.</w:t>
      </w:r>
    </w:p>
    <w:p>
      <w:pPr>
        <w:spacing w:after="100" w:line="276"/>
        <w:ind w:left="720" w:hanging="420"/>
      </w:pPr>
      <w:r>
        <w:rPr>
          <w:b/>
          <w:bCs/>
          <w:sz w:val="22"/>
          <w:szCs w:val="22"/>
        </w:rPr>
        <w:t xml:space="preserve">45.</w:t>
      </w:r>
      <w:r>
        <w:rPr>
          <w:sz w:val="22"/>
          <w:szCs w:val="22"/>
        </w:rPr>
        <w:t xml:space="preserve">  Test each arm's mean return per trade against zero using a one-sample t-test at a significance level of 0.05.</w:t>
      </w:r>
    </w:p>
    <w:p>
      <w:pPr>
        <w:spacing w:after="100" w:line="276"/>
        <w:ind w:left="720" w:hanging="420"/>
      </w:pPr>
      <w:r>
        <w:rPr>
          <w:b/>
          <w:bCs/>
          <w:sz w:val="22"/>
          <w:szCs w:val="22"/>
        </w:rPr>
        <w:t xml:space="preserve">46.</w:t>
      </w:r>
      <w:r>
        <w:rPr>
          <w:sz w:val="22"/>
          <w:szCs w:val="22"/>
        </w:rPr>
        <w:t xml:space="preserve">  Compare the regime-gated arm against the random-direction control arm using Welch's unequal-variance t-test on the per-trade returns at a significance level of 0.05, and compare the two win rates using a two-proportion z-test.</w:t>
      </w:r>
    </w:p>
    <w:p>
      <w:pPr>
        <w:spacing w:after="100" w:line="276"/>
        <w:ind w:left="720" w:hanging="420"/>
      </w:pPr>
      <w:r>
        <w:rPr>
          <w:b/>
          <w:bCs/>
          <w:sz w:val="22"/>
          <w:szCs w:val="22"/>
        </w:rPr>
        <w:t xml:space="preserve">47.</w:t>
      </w:r>
      <w:r>
        <w:rPr>
          <w:sz w:val="22"/>
          <w:szCs w:val="22"/>
        </w:rPr>
        <w:t xml:space="preserve">  Compute a 95% confidence interval for each arm's mean return per trade using bootstrap resampling with 10,000 resamples.</w:t>
      </w:r>
    </w:p>
    <w:p>
      <w:pPr>
        <w:spacing w:after="100" w:line="276"/>
        <w:ind w:left="720" w:hanging="420"/>
      </w:pPr>
      <w:r>
        <w:rPr>
          <w:b/>
          <w:bCs/>
          <w:sz w:val="22"/>
          <w:szCs w:val="22"/>
        </w:rPr>
        <w:t xml:space="preserve">48.</w:t>
      </w:r>
      <w:r>
        <w:rPr>
          <w:sz w:val="22"/>
          <w:szCs w:val="22"/>
        </w:rPr>
        <w:t xml:space="preserve">  Tabulate how often each skip reason code occurred in each arm, in order to determine which filters removed the most candidate trades, and report these counts alongside the performance results.</w:t>
      </w:r>
    </w:p>
    <w:p>
      <w:pPr>
        <w:spacing w:after="100" w:line="276"/>
        <w:ind w:left="720" w:hanging="420"/>
      </w:pPr>
      <w:r>
        <w:rPr>
          <w:b/>
          <w:bCs/>
          <w:sz w:val="22"/>
          <w:szCs w:val="22"/>
        </w:rPr>
        <w:t xml:space="preserve">49.</w:t>
      </w:r>
      <w:r>
        <w:rPr>
          <w:sz w:val="22"/>
          <w:szCs w:val="22"/>
        </w:rPr>
        <w:t xml:space="preserve">  Repeat steps 8 to 47 for each of the three arms. Because all arms replay the same historical period, no adjustment for differing market conditions is required.</w:t>
      </w:r>
    </w:p>
    <w:p>
      <w:pPr>
        <w:spacing w:after="100" w:line="276"/>
        <w:ind w:left="720" w:hanging="420"/>
      </w:pPr>
      <w:r>
        <w:rPr>
          <w:b/>
          <w:bCs/>
          <w:sz w:val="22"/>
          <w:szCs w:val="22"/>
        </w:rPr>
        <w:t xml:space="preserve">50.</w:t>
      </w:r>
      <w:r>
        <w:rPr>
          <w:sz w:val="22"/>
          <w:szCs w:val="22"/>
        </w:rPr>
        <w:t xml:space="preserve">  Only after all three arms have been analysed, repeat the study while varying the confluence threshold, the stop tier, the risk percentage, and the timeout window, in order to carry out a sensitivity analysis. Report any such variation as a separate secondary result and never as a revision of the primary result, because tuning parameters against the same data that produced the primary finding would overfit the conclusion to that data.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2026-08-29T00:29:30.691Z</dcterms:created>
  <dcterms:modified xsi:type="dcterms:W3CDTF">2026-08-29T00:29:30.704Z</dcterms:modified>
</cp:coreProperties>
</file>

<file path=docProps/custom.xml><?xml version="1.0" encoding="utf-8"?>
<Properties xmlns="http://schemas.openxmlformats.org/officeDocument/2006/custom-properties" xmlns:vt="http://schemas.openxmlformats.org/officeDocument/2006/docPropsVTypes"/>
</file>