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4"/>
          <w:szCs w:val="24"/>
        </w:rPr>
        <w:t xml:space="preserve">Background to the Study</w:t>
      </w:r>
    </w:p>
    <w:p>
      <w:pPr>
        <w:spacing w:after="0" w:line="480" w:lineRule="auto"/>
        <w:jc w:val="center"/>
      </w:pPr>
      <w:r>
        <w:rPr>
          <w:rFonts w:ascii="Times New Roman" w:cs="Times New Roman" w:eastAsia="Times New Roman" w:hAnsi="Times New Roman"/>
          <w:b w:val="false"/>
          <w:bCs w:val="false"/>
          <w:sz w:val="24"/>
          <w:szCs w:val="24"/>
        </w:rPr>
        <w:t xml:space="preserve">The Provocation Behind STDV and Why the Question It Asks Matters</w:t>
      </w:r>
    </w:p>
    <w:p>
      <w:pPr>
        <w:spacing w:after="0" w:line="480" w:lineRule="auto"/>
        <w:jc w:val="center"/>
      </w:pPr>
      <w:r>
        <w:rPr>
          <w:rFonts w:ascii="Times New Roman" w:cs="Times New Roman" w:eastAsia="Times New Roman" w:hAnsi="Times New Roman"/>
          <w:b w:val="false"/>
          <w:bCs w:val="false"/>
          <w:sz w:val="24"/>
          <w:szCs w:val="24"/>
        </w:rPr>
        <w:t xml:space="preserve"/>
      </w:r>
    </w:p>
    <w:p>
      <w:pPr>
        <w:pStyle w:val="Heading1"/>
        <w:spacing w:after="0" w:before="0" w:line="480" w:lineRule="auto"/>
      </w:pPr>
      <w:r>
        <w:rPr>
          <w:rFonts w:ascii="Times New Roman" w:cs="Times New Roman" w:eastAsia="Times New Roman" w:hAnsi="Times New Roman"/>
          <w:b/>
          <w:bCs/>
          <w:color w:val="000000"/>
          <w:sz w:val="24"/>
          <w:szCs w:val="24"/>
        </w:rPr>
        <w:t xml:space="preserve">1. The Provocation</w:t>
      </w:r>
    </w:p>
    <w:p>
      <w:pPr>
        <w:spacing w:after="0" w:line="480" w:lineRule="auto"/>
        <w:ind w:firstLine="720"/>
      </w:pPr>
      <w:r>
        <w:rPr>
          <w:rFonts w:ascii="Times New Roman" w:cs="Times New Roman" w:eastAsia="Times New Roman" w:hAnsi="Times New Roman"/>
          <w:sz w:val="24"/>
          <w:szCs w:val="24"/>
        </w:rPr>
        <w:t xml:space="preserve">There is an industry that teaches people how financial markets are manipulated. It sells a vocabulary — liquidity sweeps, stop hunts, order blocks, points of interest — and it sells rules for acting on that vocabulary. The rules are specific. They say where to look, when to look, and what a tradeable event looks like. They are taught through video courses, subscription communities, and social media to an audience that numbers in the millions, and many of those people go on to risk money on the basis of what they were taught.</w:t>
      </w:r>
    </w:p>
    <w:p>
      <w:pPr>
        <w:spacing w:after="0" w:line="480" w:lineRule="auto"/>
        <w:ind w:firstLine="720"/>
      </w:pPr>
      <w:r>
        <w:rPr>
          <w:rFonts w:ascii="Times New Roman" w:cs="Times New Roman" w:eastAsia="Times New Roman" w:hAnsi="Times New Roman"/>
          <w:sz w:val="24"/>
          <w:szCs w:val="24"/>
        </w:rPr>
        <w:t xml:space="preserve">What that industry does not do is test its own rules against a control. When a method makes money, nobody asks whether it made money because it understood something true about the market or because the trader who used it managed risk sensibly. Those are different claims. A system can be profitable while its reading of the market contributes nothing at all, simply because its stop-losses are tight and its profit targets are reasonable. A system can be unprofitable while its reading of the market is genuinely informative, because transaction costs ate the edge. Measuring profit alone cannot tell these cases apart. Only a controlled comparison can.</w:t>
      </w:r>
    </w:p>
    <w:p>
      <w:pPr>
        <w:spacing w:after="0" w:line="480" w:lineRule="auto"/>
        <w:ind w:firstLine="720"/>
      </w:pPr>
      <w:r>
        <w:rPr>
          <w:rFonts w:ascii="Times New Roman" w:cs="Times New Roman" w:eastAsia="Times New Roman" w:hAnsi="Times New Roman"/>
          <w:sz w:val="24"/>
          <w:szCs w:val="24"/>
        </w:rPr>
        <w:t xml:space="preserve">That is the provocation behind STDV. The researcher came to this methodology as a student of trading and holds a simulated proprietary-firm account on which these methods would ordinarily be practised. The natural question — are the things I was taught actually true? — arose before any capital was at stake. The discovery that followed was the surprising part: not that the answer was unknown, but that no one appeared to have asked the question in a form that could produce an answer. STDV exists to ask it, for one narrow and precisely defined slice of the methodology, in a way that a science fair judge, a finance academic, and a retail trader would all recognise as a fair test.</w:t>
      </w:r>
    </w:p>
    <w:p>
      <w:pPr>
        <w:pStyle w:val="Heading1"/>
        <w:spacing w:after="0" w:before="0" w:line="480" w:lineRule="auto"/>
      </w:pPr>
      <w:r>
        <w:rPr>
          <w:rFonts w:ascii="Times New Roman" w:cs="Times New Roman" w:eastAsia="Times New Roman" w:hAnsi="Times New Roman"/>
          <w:b/>
          <w:bCs/>
          <w:color w:val="000000"/>
          <w:sz w:val="24"/>
          <w:szCs w:val="24"/>
        </w:rPr>
        <w:t xml:space="preserve">2. What Is Already Known: The Mechanism Is Real</w:t>
      </w:r>
    </w:p>
    <w:p>
      <w:pPr>
        <w:spacing w:after="0" w:line="480" w:lineRule="auto"/>
        <w:ind w:firstLine="720"/>
      </w:pPr>
      <w:r>
        <w:rPr>
          <w:rFonts w:ascii="Times New Roman" w:cs="Times New Roman" w:eastAsia="Times New Roman" w:hAnsi="Times New Roman"/>
          <w:sz w:val="24"/>
          <w:szCs w:val="24"/>
        </w:rPr>
        <w:t xml:space="preserve">It would be easy to dismiss the entire methodology as folklore, and some commentators do. That dismissal is a mistake, because the mechanism underneath it is documented in the academic literature at a high standard. The mistake retail discourse makes is the opposite one — conflating the documented mechanism with the untested rules built on top of it. Keeping these apart is the first task of any honest background to this study.</w:t>
      </w:r>
    </w:p>
    <w:p>
      <w:pPr>
        <w:spacing w:after="0" w:line="480" w:lineRule="auto"/>
        <w:ind w:firstLine="720"/>
      </w:pPr>
      <w:r>
        <w:rPr>
          <w:rFonts w:ascii="Times New Roman" w:cs="Times New Roman" w:eastAsia="Times New Roman" w:hAnsi="Times New Roman"/>
          <w:sz w:val="24"/>
          <w:szCs w:val="24"/>
        </w:rPr>
        <w:t xml:space="preserve">The mechanism is order clustering. Osler (2003), analysing proprietary order data from a large foreign exchange dealing bank, found that stop-loss and take-profit orders are not spread evenly along the price axis. They cluster heavily at round numbers, and round numbers are exactly the levels that technical traders treat as support and resistance. More importantly, the two types of order behave differently. Take-profit orders sit just before a round number and act as a brake, causing a trend to reverse at that level. Stop-loss orders sit just beyond a round number and act as an accelerant, causing a trend to gain speed once the level is broken. Osler (2005) extended this into a model of price cascades, in which one triggered cluster of stop orders sets off the next.</w:t>
      </w:r>
    </w:p>
    <w:p>
      <w:pPr>
        <w:spacing w:after="0" w:line="480" w:lineRule="auto"/>
        <w:ind w:firstLine="720"/>
      </w:pPr>
      <w:r>
        <w:rPr>
          <w:rFonts w:ascii="Times New Roman" w:cs="Times New Roman" w:eastAsia="Times New Roman" w:hAnsi="Times New Roman"/>
          <w:sz w:val="24"/>
          <w:szCs w:val="24"/>
        </w:rPr>
        <w:t xml:space="preserve">This gives a microstructural reason for two of the oldest claims in technical analysis: that price reverses at support and resistance, and that it accelerates through them when they break. Osler's contribution was not to observe the pattern but to explain why the pattern should exist. And the explanation has a practical consequence. A price move that runs into a pool of resting stop orders is mechanically different from a move through empty space. It consumes liquidity as it goes. Once the pool is absorbed, the fuel is gone, and the move may exhaust and reverse. That exhaustion is the event STDV is built to detect.</w:t>
      </w:r>
    </w:p>
    <w:p>
      <w:pPr>
        <w:spacing w:after="0" w:line="480" w:lineRule="auto"/>
        <w:ind w:firstLine="720"/>
      </w:pPr>
      <w:r>
        <w:rPr>
          <w:rFonts w:ascii="Times New Roman" w:cs="Times New Roman" w:eastAsia="Times New Roman" w:hAnsi="Times New Roman"/>
          <w:sz w:val="24"/>
          <w:szCs w:val="24"/>
        </w:rPr>
        <w:t xml:space="preserve">What the mechanism does not establish is equally important. Osler's data came from a dealer's order book, not from a candlestick chart. Her work shows that clustering exists and that it moves prices. It does not show that a retail trader can spot these events in real time from price bars alone, that the reversal is large enough to pay for slippage and commission, or that any particular entry rule captures it. The distance between this mechanism exists and this mechanism can be traded is the entire subject of the study.</w:t>
      </w:r>
    </w:p>
    <w:p>
      <w:pPr>
        <w:pStyle w:val="Heading1"/>
        <w:spacing w:after="0" w:before="0" w:line="480" w:lineRule="auto"/>
      </w:pPr>
      <w:r>
        <w:rPr>
          <w:rFonts w:ascii="Times New Roman" w:cs="Times New Roman" w:eastAsia="Times New Roman" w:hAnsi="Times New Roman"/>
          <w:b/>
          <w:bCs/>
          <w:color w:val="000000"/>
          <w:sz w:val="24"/>
          <w:szCs w:val="24"/>
        </w:rPr>
        <w:t xml:space="preserve">3. When It Happens: Session Structure</w:t>
      </w:r>
    </w:p>
    <w:p>
      <w:pPr>
        <w:spacing w:after="0" w:line="480" w:lineRule="auto"/>
        <w:ind w:firstLine="720"/>
      </w:pPr>
      <w:r>
        <w:rPr>
          <w:rFonts w:ascii="Times New Roman" w:cs="Times New Roman" w:eastAsia="Times New Roman" w:hAnsi="Times New Roman"/>
          <w:sz w:val="24"/>
          <w:szCs w:val="24"/>
        </w:rPr>
        <w:t xml:space="preserve">If pooled liquidity is the target, the next question is when it is most likely to be swept. The intraday seasonality literature answers this clearly. Trading activity is not uniform across the day. Volatility in equity markets follows a well-documented U-shape, high at the open, low at midday, and high again before the close. In futures markets that trade across overlapping global sessions, the picture is more detailed but no less structured: work on platinum and gold futures found volatility rising at the open of each of the Tokyo, London and New York day sessions, with the shape of the day differing by venue. Bollerslev, Cai and Song (2000), studying United States Treasury bond futures, attributed a large share of the intraday volatility pattern to scheduled macroeconomic announcements, showing that the timing of information arrival is itself a structural feature of the day.</w:t>
      </w:r>
    </w:p>
    <w:p>
      <w:pPr>
        <w:spacing w:after="0" w:line="480" w:lineRule="auto"/>
        <w:ind w:firstLine="720"/>
      </w:pPr>
      <w:r>
        <w:rPr>
          <w:rFonts w:ascii="Times New Roman" w:cs="Times New Roman" w:eastAsia="Times New Roman" w:hAnsi="Times New Roman"/>
          <w:sz w:val="24"/>
          <w:szCs w:val="24"/>
        </w:rPr>
        <w:t xml:space="preserve">The consequence for STDV is direct. A session open is the moment when orders that accumulated during a quiet period meet a sudden surge of participation. If stop orders have pooled above and below the previous session's extremes, the open is when they are most likely to be reached. This is why STDV does not scan for liquidity sweeps at all hours. It arms a detection window at the Asia open and again at the New York open and looks nowhere else. That restriction is not a convenience; it is a commitment derived from the seasonality literature, and it deliberately shrinks the number of places a spurious pattern could be found by chance.</w:t>
      </w:r>
    </w:p>
    <w:p>
      <w:pPr>
        <w:pStyle w:val="Heading1"/>
        <w:spacing w:after="0" w:before="0" w:line="480" w:lineRule="auto"/>
      </w:pPr>
      <w:r>
        <w:rPr>
          <w:rFonts w:ascii="Times New Roman" w:cs="Times New Roman" w:eastAsia="Times New Roman" w:hAnsi="Times New Roman"/>
          <w:b/>
          <w:bCs/>
          <w:color w:val="000000"/>
          <w:sz w:val="24"/>
          <w:szCs w:val="24"/>
        </w:rPr>
        <w:t xml:space="preserve">4. The Methodology Built On the Mechanism</w:t>
      </w:r>
    </w:p>
    <w:p>
      <w:pPr>
        <w:spacing w:after="0" w:line="480" w:lineRule="auto"/>
        <w:ind w:firstLine="720"/>
      </w:pPr>
      <w:r>
        <w:rPr>
          <w:rFonts w:ascii="Times New Roman" w:cs="Times New Roman" w:eastAsia="Times New Roman" w:hAnsi="Times New Roman"/>
          <w:sz w:val="24"/>
          <w:szCs w:val="24"/>
        </w:rPr>
        <w:t xml:space="preserve">Over roughly the past decade an informal but highly specific trading methodology has grown up around exactly the mechanism Osler described. It circulates under the names Smart Money Concepts and Inner Circle Trader methodology. Stripped of its vocabulary, its central claim is a restatement of the order-clustering finding: retail stop orders pool in predictable places — above obvious highs, below obvious lows, at round numbers — and larger participants transact against that pooled liquidity. A move that runs through such a pool and then reverses is read not as a failed breakout but as a deliberate sweep, and the reversal is the tradeable event.</w:t>
      </w:r>
    </w:p>
    <w:p>
      <w:pPr>
        <w:spacing w:after="0" w:line="480" w:lineRule="auto"/>
        <w:ind w:firstLine="720"/>
      </w:pPr>
      <w:r>
        <w:rPr>
          <w:rFonts w:ascii="Times New Roman" w:cs="Times New Roman" w:eastAsia="Times New Roman" w:hAnsi="Times New Roman"/>
          <w:sz w:val="24"/>
          <w:szCs w:val="24"/>
        </w:rPr>
        <w:t xml:space="preserve">What makes this methodology a legitimate research subject is not that it is exotic but that it is unusually precise. Unlike vaguer forms of chart reading, its rules can be written as code. A liquidity sweep has an operational definition. A session window has fixed boundaries. A level grid can be calculated arithmetically from the high and low of a price leg. That precision is what makes the methodology falsifiable, and falsifiability is the whole reason it can be treated as a scientific question rather than an opinion.</w:t>
      </w:r>
    </w:p>
    <w:p>
      <w:pPr>
        <w:spacing w:after="0" w:line="480" w:lineRule="auto"/>
        <w:ind w:firstLine="720"/>
      </w:pPr>
      <w:r>
        <w:rPr>
          <w:rFonts w:ascii="Times New Roman" w:cs="Times New Roman" w:eastAsia="Times New Roman" w:hAnsi="Times New Roman"/>
          <w:sz w:val="24"/>
          <w:szCs w:val="24"/>
        </w:rPr>
        <w:t xml:space="preserve">The asymmetry, then, is stark. The methodology is enormously popular. It is heavily monetised. It makes concrete claims about how markets behave. And it is almost entirely absent from peer-reviewed finance. A search of the academic record for controlled tests of Smart Money Concepts returns essentially nothing of methodological quality — a handful of papers borrow the terminology while testing something else, and no controlled experimental evaluation of the core rules appears in a reputable journal.</w:t>
      </w:r>
    </w:p>
    <w:p>
      <w:pPr>
        <w:pStyle w:val="Heading1"/>
        <w:spacing w:after="0" w:before="0" w:line="480" w:lineRule="auto"/>
      </w:pPr>
      <w:r>
        <w:rPr>
          <w:rFonts w:ascii="Times New Roman" w:cs="Times New Roman" w:eastAsia="Times New Roman" w:hAnsi="Times New Roman"/>
          <w:b/>
          <w:bCs/>
          <w:color w:val="000000"/>
          <w:sz w:val="24"/>
          <w:szCs w:val="24"/>
        </w:rPr>
        <w:t xml:space="preserve">5. What Has Not Been Done</w:t>
      </w:r>
    </w:p>
    <w:p>
      <w:pPr>
        <w:spacing w:after="0" w:line="480" w:lineRule="auto"/>
        <w:ind w:firstLine="720"/>
      </w:pPr>
      <w:r>
        <w:rPr>
          <w:rFonts w:ascii="Times New Roman" w:cs="Times New Roman" w:eastAsia="Times New Roman" w:hAnsi="Times New Roman"/>
          <w:sz w:val="24"/>
          <w:szCs w:val="24"/>
        </w:rPr>
        <w:t xml:space="preserve">Testing has not been entirely absent; it has simply happened outside the academic literature, in practitioner research of uneven quality. The most rigorous public attempt located during this review wrote four core concepts — order blocks, fair value gaps, liquidity sweeps, and optimal trade entry — as explicit mechanical rules and tested them on the S&amp;P 500 exchange-traded fund. None of the four produced a statistically significant forward-return edge. The strongest, the order block, added roughly 0.12 percent over five days across 736 events, with a t-statistic of about 1.2, below the conventional threshold of 2. This is independent practitioner work rather than peer-reviewed scholarship and must be weighted accordingly, but it is serious, and its result is not encouraging.</w:t>
      </w:r>
    </w:p>
    <w:p>
      <w:pPr>
        <w:spacing w:after="0" w:line="480" w:lineRule="auto"/>
        <w:ind w:firstLine="720"/>
      </w:pPr>
      <w:r>
        <w:rPr>
          <w:rFonts w:ascii="Times New Roman" w:cs="Times New Roman" w:eastAsia="Times New Roman" w:hAnsi="Times New Roman"/>
          <w:sz w:val="24"/>
          <w:szCs w:val="24"/>
        </w:rPr>
        <w:t xml:space="preserve">That test matters to STDV for two reasons. It establishes that a null result is a realistic outcome that must be planned for. And it shows that mechanical codification of these concepts is achievable, which removes the excuse most often offered when such tests fail — that the rules were not implemented faithfully.</w:t>
      </w:r>
    </w:p>
    <w:p>
      <w:pPr>
        <w:spacing w:after="0" w:line="480" w:lineRule="auto"/>
        <w:ind w:firstLine="720"/>
      </w:pPr>
      <w:r>
        <w:rPr>
          <w:rFonts w:ascii="Times New Roman" w:cs="Times New Roman" w:eastAsia="Times New Roman" w:hAnsi="Times New Roman"/>
          <w:sz w:val="24"/>
          <w:szCs w:val="24"/>
        </w:rPr>
        <w:t xml:space="preserve">But even that test shares a structural weakness with nearly every other evaluation of this methodology, and it is the weakness STDV is specifically designed to remove. It asks whether the strategy makes money. It does not ask whether the strategy's decisions are better than the same decisions made at random. Return to the distinction from Section 1: a trading system is many components — when to look, where to enter, how much to risk, where to place the stop, where to take profit, when to give up. The methodology claims to supply the directional judgement. Everything else is risk management. A test of profitability cannot say which component did the work.</w:t>
      </w:r>
    </w:p>
    <w:p>
      <w:pPr>
        <w:spacing w:after="0" w:line="480" w:lineRule="auto"/>
        <w:ind w:firstLine="720"/>
      </w:pPr>
      <w:r>
        <w:rPr>
          <w:rFonts w:ascii="Times New Roman" w:cs="Times New Roman" w:eastAsia="Times New Roman" w:hAnsi="Times New Roman"/>
          <w:sz w:val="24"/>
          <w:szCs w:val="24"/>
        </w:rPr>
        <w:t xml:space="preserve">The remedy is ordinary in experimental science and rare in trading research: hold everything constant and randomise only the thing under test. If a system that chooses direction by the methodology's rules performs no better than an identical system that chooses direction by a coin flip, then whatever the system earns or loses belongs to its sizing and exit machinery, not to its reading of the market. No prior test of this methodology located during this review includes such a control. That absence is the specific gap STDV fills.</w:t>
      </w:r>
    </w:p>
    <w:p>
      <w:pPr>
        <w:pStyle w:val="Heading1"/>
        <w:spacing w:after="0" w:before="0" w:line="480" w:lineRule="auto"/>
      </w:pPr>
      <w:r>
        <w:rPr>
          <w:rFonts w:ascii="Times New Roman" w:cs="Times New Roman" w:eastAsia="Times New Roman" w:hAnsi="Times New Roman"/>
          <w:b/>
          <w:bCs/>
          <w:color w:val="000000"/>
          <w:sz w:val="24"/>
          <w:szCs w:val="24"/>
        </w:rPr>
        <w:t xml:space="preserve">6. The Precise Claim Under Test</w:t>
      </w:r>
    </w:p>
    <w:p>
      <w:pPr>
        <w:spacing w:after="0" w:line="480" w:lineRule="auto"/>
        <w:ind w:firstLine="720"/>
      </w:pPr>
      <w:r>
        <w:rPr>
          <w:rFonts w:ascii="Times New Roman" w:cs="Times New Roman" w:eastAsia="Times New Roman" w:hAnsi="Times New Roman"/>
          <w:sz w:val="24"/>
          <w:szCs w:val="24"/>
        </w:rPr>
        <w:t xml:space="preserve">A second claim inside the methodology is even less examined than the first, and it is the one STDV manipulates directly. Practitioners routinely assert that selectivity should depend on market conditions: in a strongly trending market, take only the highest-grade counter-trend setups; in a ranging market, a wider set becomes viable. Written as a rule, this is a conditional filter. A setup's eligibility depends not only on the setup itself but on a classification of the prevailing regime.</w:t>
      </w:r>
    </w:p>
    <w:p>
      <w:pPr>
        <w:spacing w:after="0" w:line="480" w:lineRule="auto"/>
        <w:ind w:firstLine="720"/>
      </w:pPr>
      <w:r>
        <w:rPr>
          <w:rFonts w:ascii="Times New Roman" w:cs="Times New Roman" w:eastAsia="Times New Roman" w:hAnsi="Times New Roman"/>
          <w:sz w:val="24"/>
          <w:szCs w:val="24"/>
        </w:rPr>
        <w:t xml:space="preserve">There is respectable theory behind the general shape of this idea. Lo (2004), proposing the Adaptive Markets Hypothesis, argued that market efficiency and inefficiency coexist and shift over time, and that the profitability of any strategy rises and falls with conditions, competition, and the supply of opportunities. Under that view a strategy that works in one environment and fails in another is not an anomaly but an expectation, and a filter that suppresses trading in the unfavourable environment should, in principle, help.</w:t>
      </w:r>
    </w:p>
    <w:p>
      <w:pPr>
        <w:spacing w:after="0" w:line="480" w:lineRule="auto"/>
        <w:ind w:firstLine="720"/>
      </w:pPr>
      <w:r>
        <w:rPr>
          <w:rFonts w:ascii="Times New Roman" w:cs="Times New Roman" w:eastAsia="Times New Roman" w:hAnsi="Times New Roman"/>
          <w:sz w:val="24"/>
          <w:szCs w:val="24"/>
        </w:rPr>
        <w:t xml:space="preserve">What does not exist is a controlled test of that principle applied to this specific filter. The claim is asserted, taught, and followed. The counterfactual is never run. Nobody appears to have taken the same detection engine, on the same data, and compared a regime-gated version against an ungated version to see whether the gate helps, hurts, or does nothing. STDV runs three arms over identical historical data. One applies strict filtering on trending days and permissive filtering on ranging days. One applies permissive filtering always. One detects identical setups but assigns direction at random. Comparing the first against the second isolates the value of the regime gate. Comparing the first against the third isolates the value of directional judgement itself. Neither comparison has been located in any prior work on this methodology.</w:t>
      </w:r>
    </w:p>
    <w:p>
      <w:pPr>
        <w:pStyle w:val="Heading1"/>
        <w:spacing w:after="0" w:before="0" w:line="480" w:lineRule="auto"/>
      </w:pPr>
      <w:r>
        <w:rPr>
          <w:rFonts w:ascii="Times New Roman" w:cs="Times New Roman" w:eastAsia="Times New Roman" w:hAnsi="Times New Roman"/>
          <w:b/>
          <w:bCs/>
          <w:color w:val="000000"/>
          <w:sz w:val="24"/>
          <w:szCs w:val="24"/>
        </w:rPr>
        <w:t xml:space="preserve">7. Why It Matters</w:t>
      </w:r>
    </w:p>
    <w:p>
      <w:pPr>
        <w:spacing w:after="0" w:line="480" w:lineRule="auto"/>
        <w:ind w:firstLine="720"/>
      </w:pPr>
      <w:r>
        <w:rPr>
          <w:rFonts w:ascii="Times New Roman" w:cs="Times New Roman" w:eastAsia="Times New Roman" w:hAnsi="Times New Roman"/>
          <w:sz w:val="24"/>
          <w:szCs w:val="24"/>
        </w:rPr>
        <w:t xml:space="preserve">The importance of the question does not rest on the answer being favourable. It rests on three things that are true regardless of outcome.</w:t>
      </w:r>
    </w:p>
    <w:p>
      <w:pPr>
        <w:spacing w:after="0" w:line="480" w:lineRule="auto"/>
        <w:ind w:firstLine="720"/>
      </w:pPr>
      <w:r>
        <w:rPr>
          <w:rFonts w:ascii="Times New Roman" w:cs="Times New Roman" w:eastAsia="Times New Roman" w:hAnsi="Times New Roman"/>
          <w:sz w:val="24"/>
          <w:szCs w:val="24"/>
        </w:rPr>
        <w:t xml:space="preserve">First, real people act on these claims. Retail traders commit savings to methods they were taught to trust, and proprietary-firm evaluation programs — which charge fees to test traders against profit targets — have become a substantial industry built partly on the same methodology. If the directional claims are empty, a great many people are paying for risk management dressed as insight. If the claims are sound, that is worth knowing with evidence rather than testimony. Either way, the people with the strongest incentive to run the test are the ones least likely to publish an unfavourable result.</w:t>
      </w:r>
    </w:p>
    <w:p>
      <w:pPr>
        <w:spacing w:after="0" w:line="480" w:lineRule="auto"/>
        <w:ind w:firstLine="720"/>
      </w:pPr>
      <w:r>
        <w:rPr>
          <w:rFonts w:ascii="Times New Roman" w:cs="Times New Roman" w:eastAsia="Times New Roman" w:hAnsi="Times New Roman"/>
          <w:sz w:val="24"/>
          <w:szCs w:val="24"/>
        </w:rPr>
        <w:t xml:space="preserve">Second, the study demonstrates a standard. Bailey, Borwein, López de Prado and Zhu (2014) showed that when a researcher searches over many parameter settings and reports the best, the reported performance is not a forecast but an artefact of the search, and that ordinary safeguards against overfitting fail in the backtesting context. Bailey and López de Prado (2014) proposed the Deflated Sharpe Ratio to correct for the number of trials tried. The practical implication is that most published trading backtests, and nearly all of those circulated in retail education, should be assumed inflated. STDV responds by fixing every parameter before any arm runs, replaying identical data across arms, resolving ambiguous bars against itself, modelling costs explicitly, and reporting sensitivity analysis only after the primary result is recorded and never as a revision of it. Showing that these safeguards can be applied cheaply, with open code, to a claim from retail trading is a contribution in its own right.</w:t>
      </w:r>
    </w:p>
    <w:p>
      <w:pPr>
        <w:spacing w:after="0" w:line="480" w:lineRule="auto"/>
        <w:ind w:firstLine="720"/>
      </w:pPr>
      <w:r>
        <w:rPr>
          <w:rFonts w:ascii="Times New Roman" w:cs="Times New Roman" w:eastAsia="Times New Roman" w:hAnsi="Times New Roman"/>
          <w:sz w:val="24"/>
          <w:szCs w:val="24"/>
        </w:rPr>
        <w:t xml:space="preserve">Third, every outcome is informative. If the regime-gated arm beats both the ungated arm and the random control, the study provides the first controlled evidence that this widely-taught filter does what its proponents say. If it beats the random control but not the ungated arm, directional judgement carries information and the regime filter does not, which contradicts a very common piece of advice and is more useful than either finding alone. If neither active arm separates from the random control, the methodology's directional claims carry no measurable information on this instrument over this period, and any profit observed is a product of sizing and exits. Given the scale at which these methods are sold, that null result is arguably the most valuable of the three, and it is the one practitioner research has the least incentive to produce.</w:t>
      </w:r>
    </w:p>
    <w:p>
      <w:pPr>
        <w:pStyle w:val="Heading1"/>
        <w:spacing w:after="0" w:before="0" w:line="480" w:lineRule="auto"/>
      </w:pPr>
      <w:r>
        <w:rPr>
          <w:rFonts w:ascii="Times New Roman" w:cs="Times New Roman" w:eastAsia="Times New Roman" w:hAnsi="Times New Roman"/>
          <w:b/>
          <w:bCs/>
          <w:color w:val="000000"/>
          <w:sz w:val="24"/>
          <w:szCs w:val="24"/>
        </w:rPr>
        <w:t xml:space="preserve">8. Conclusion</w:t>
      </w:r>
    </w:p>
    <w:p>
      <w:pPr>
        <w:spacing w:after="0" w:line="480" w:lineRule="auto"/>
        <w:ind w:firstLine="720"/>
      </w:pPr>
      <w:r>
        <w:rPr>
          <w:rFonts w:ascii="Times New Roman" w:cs="Times New Roman" w:eastAsia="Times New Roman" w:hAnsi="Times New Roman"/>
          <w:sz w:val="24"/>
          <w:szCs w:val="24"/>
        </w:rPr>
        <w:t xml:space="preserve">The mechanism STDV targets is real and documented: orders cluster at predictable prices, and moves through those clusters behave differently from moves through open space. The timing it exploits is real and documented: session opens concentrate participation and information. The methodology built on these facts is precise enough to be written as code and therefore to be tested. And despite being taught to millions, that methodology has never been evaluated against a control. The gap is not in the theory. It is in the testing. STDV closes a narrow, well-defined portion of that gap by building the system as inspectable software, running it over a fixed historical sample, and comparing it against both an ungated variant and a direction-randomised control under identical conditions — arranged so that the honest answer, including an unfavourable one, is the answer it will give.</w:t>
      </w:r>
    </w:p>
    <w:p>
      <w:pPr>
        <w:spacing w:after="0" w:line="480" w:lineRule="auto"/>
        <w:jc w:val="center"/>
      </w:pPr>
      <w:r>
        <w:rPr>
          <w:rFonts w:ascii="Times New Roman" w:cs="Times New Roman" w:eastAsia="Times New Roman" w:hAnsi="Times New Roman"/>
          <w:b w:val="false"/>
          <w:bCs w:val="false"/>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sz w:val="24"/>
          <w:szCs w:val="24"/>
        </w:rPr>
        <w:t xml:space="preserve">Bailey, D. H., Borwein, J. M., López de Prado, M., &amp; Zhu, Q. J. (2014). Pseudo-mathematics and financial charlatanism: The effects of backtest overfitting on out-of-sample performance. Notices of the American Mathematical Society, 61(5), 458–471.</w:t>
      </w:r>
    </w:p>
    <w:p>
      <w:pPr>
        <w:spacing w:after="0" w:line="480" w:lineRule="auto"/>
        <w:ind w:left="720" w:hanging="720"/>
      </w:pPr>
      <w:r>
        <w:rPr>
          <w:rFonts w:ascii="Times New Roman" w:cs="Times New Roman" w:eastAsia="Times New Roman" w:hAnsi="Times New Roman"/>
          <w:sz w:val="24"/>
          <w:szCs w:val="24"/>
        </w:rPr>
        <w:t xml:space="preserve">Bailey, D. H., &amp; López de Prado, M. (2014). The deflated Sharpe ratio: Correcting for selection bias, backtest overfitting, and non-normality. The Journal of Portfolio Management, 40(5), 94–107.</w:t>
      </w:r>
    </w:p>
    <w:p>
      <w:pPr>
        <w:spacing w:after="0" w:line="480" w:lineRule="auto"/>
        <w:ind w:left="720" w:hanging="720"/>
      </w:pPr>
      <w:r>
        <w:rPr>
          <w:rFonts w:ascii="Times New Roman" w:cs="Times New Roman" w:eastAsia="Times New Roman" w:hAnsi="Times New Roman"/>
          <w:sz w:val="24"/>
          <w:szCs w:val="24"/>
        </w:rPr>
        <w:t xml:space="preserve">Bollerslev, T., Cai, J., &amp; Song, F. M. (2000). Intraday periodicity, long memory volatility, and macroeconomic announcement effects in the US Treasury bond market. Journal of Empirical Finance, 7(1), 37–55.</w:t>
      </w:r>
    </w:p>
    <w:p>
      <w:pPr>
        <w:spacing w:after="0" w:line="480" w:lineRule="auto"/>
        <w:ind w:left="720" w:hanging="720"/>
      </w:pPr>
      <w:r>
        <w:rPr>
          <w:rFonts w:ascii="Times New Roman" w:cs="Times New Roman" w:eastAsia="Times New Roman" w:hAnsi="Times New Roman"/>
          <w:sz w:val="24"/>
          <w:szCs w:val="24"/>
        </w:rPr>
        <w:t xml:space="preserve">Lo, A. W. (2004). The adaptive markets hypothesis: Market efficiency from an evolutionary perspective. The Journal of Portfolio Management, 30(5), 15–29.</w:t>
      </w:r>
    </w:p>
    <w:p>
      <w:pPr>
        <w:spacing w:after="0" w:line="480" w:lineRule="auto"/>
        <w:ind w:left="720" w:hanging="720"/>
      </w:pPr>
      <w:r>
        <w:rPr>
          <w:rFonts w:ascii="Times New Roman" w:cs="Times New Roman" w:eastAsia="Times New Roman" w:hAnsi="Times New Roman"/>
          <w:sz w:val="24"/>
          <w:szCs w:val="24"/>
        </w:rPr>
        <w:t xml:space="preserve">Osler, C. L. (2003). Currency orders and exchange rate dynamics: An explanation for the predictive success of technical analysis. The Journal of Finance, 58(5), 1791–1819.</w:t>
      </w:r>
    </w:p>
    <w:p>
      <w:pPr>
        <w:spacing w:after="0" w:line="480" w:lineRule="auto"/>
        <w:ind w:left="720" w:hanging="720"/>
      </w:pPr>
      <w:r>
        <w:rPr>
          <w:rFonts w:ascii="Times New Roman" w:cs="Times New Roman" w:eastAsia="Times New Roman" w:hAnsi="Times New Roman"/>
          <w:sz w:val="24"/>
          <w:szCs w:val="24"/>
        </w:rPr>
        <w:t xml:space="preserve">Osler, C. L. (2005). Stop-loss orders and price cascades in currency markets. Journal of International Money and Finance, 24(2), 219–241.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2026-09-06T21:01:30.550Z</dcterms:created>
  <dcterms:modified xsi:type="dcterms:W3CDTF">2026-09-06T21:01:30.566Z</dcterms:modified>
</cp:coreProperties>
</file>

<file path=docProps/custom.xml><?xml version="1.0" encoding="utf-8"?>
<Properties xmlns="http://schemas.openxmlformats.org/officeDocument/2006/custom-properties" xmlns:vt="http://schemas.openxmlformats.org/officeDocument/2006/docPropsVTypes"/>
</file>