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Acta de Congelamiento — MTPS-C v7.7-b</w:t>
      </w:r>
    </w:p>
    <w:p>
      <w:pPr>
        <w:spacing w:after="160"/>
        <w:jc w:val="center"/>
      </w:pPr>
      <w:r>
        <w:rPr>
          <w:i/>
          <w:iCs/>
          <w:sz w:val="23"/>
          <w:szCs w:val="23"/>
        </w:rPr>
        <w:t xml:space="preserve">Sensibilidad del Conjunto de Calibración — Barrido de M</w:t>
      </w:r>
    </w:p>
    <w:p>
      <w:pPr>
        <w:spacing w:after="160"/>
        <w:jc w:val="center"/>
      </w:pPr>
      <w:r>
        <w:rPr>
          <w:b/>
          <w:bCs/>
          <w:sz w:val="20"/>
          <w:szCs w:val="20"/>
        </w:rPr>
        <w:t xml:space="preserve">ACTA DE CONGELAMIENTO 01 — NO AUTORIZA CORRIDA HASTA EL ANEXO C7</w:t>
      </w:r>
    </w:p>
    <w:p>
      <w:pPr>
        <w:spacing w:after="60"/>
        <w:jc w:val="center"/>
      </w:pPr>
      <w:r>
        <w:rPr>
          <w:b/>
          <w:bCs/>
          <w:sz w:val="21"/>
          <w:szCs w:val="21"/>
        </w:rPr>
        <w:t xml:space="preserve">Joaquín Peñafiel</w:t>
      </w:r>
    </w:p>
    <w:p>
      <w:pPr>
        <w:spacing w:after="200"/>
        <w:jc w:val="center"/>
      </w:pPr>
      <w:r>
        <w:rPr>
          <w:sz w:val="20"/>
          <w:szCs w:val="20"/>
        </w:rPr>
        <w:t xml:space="preserve">Chile · 12 de agosto de 2026</w:t>
      </w:r>
    </w:p>
    <w:p>
      <w:pPr>
        <w:pBdr>
          <w:bottom w:val="single" w:color="AAAAAA" w:sz="6"/>
        </w:pBdr>
        <w:spacing w:after="160"/>
      </w:pPr>
    </w:p>
    <w:p>
      <w:pPr>
        <w:pStyle w:val="Heading1"/>
        <w:spacing w:after="140" w:before="280"/>
      </w:pPr>
      <w:r>
        <w:t xml:space="preserve">1. Objeto</w:t>
      </w:r>
    </w:p>
    <w:p>
      <w:pPr>
        <w:spacing w:after="120"/>
      </w:pPr>
      <w:r>
        <w:t xml:space="preserve">Esta acta congela la Hoja de Ruta MTPS-C v7.7-b, Borrador 8, como prerregistro vinculante del experimento de sensibilidad del conjunto de calibración, y fija las condiciones bajo las cuales quedará autorizada su corrida. El acta no modifica el experimento: registra el fallo sobre las decisiones de diseño, ancla las versiones mediante SHA-256 y establece las condiciones de ejecución.</w:t>
      </w:r>
    </w:p>
    <w:p>
      <w:pPr>
        <w:spacing w:after="120"/>
      </w:pPr>
      <w:r>
        <w:t xml:space="preserve">El Borrador 8 recorrió siete rondas de auditoría con redacción y revisión alternadas, conforme a la regla del programa de que quien redacta una versión no la audita. Su § 7 registra la trazabilidad completa de enmiendas.</w:t>
      </w:r>
    </w:p>
    <w:p>
      <w:pPr>
        <w:pStyle w:val="Heading1"/>
        <w:spacing w:after="140" w:before="280"/>
      </w:pPr>
      <w:r>
        <w:t xml:space="preserve">2. Fallo sobre las decisiones de diseño D1–D5</w:t>
      </w:r>
    </w:p>
    <w:p>
      <w:pPr>
        <w:spacing w:after="120"/>
      </w:pPr>
      <w:r>
        <w:t xml:space="preserve">Se aprueban D1–D5 sin nuevas enmiendas y se aceptan las puertas G11, G12 y G13 como parte del prerregistro. No se agrega D6.</w:t>
      </w:r>
    </w:p>
    <w:p>
      <w:pPr>
        <w:pStyle w:val="ListParagraph"/>
        <w:numPr>
          <w:ilvl w:val="0"/>
          <w:numId w:val="1"/>
        </w:numPr>
        <w:spacing w:after="120"/>
      </w:pPr>
      <w:r>
        <w:t xml:space="preserve">D1 — Variable única: se barre solo M ∈ {25, 40, 50}. N = 50 fijo; k = 5 y ε congelados.</w:t>
      </w:r>
    </w:p>
    <w:p>
      <w:pPr>
        <w:pStyle w:val="ListParagraph"/>
        <w:numPr>
          <w:ilvl w:val="0"/>
          <w:numId w:val="1"/>
        </w:numPr>
        <w:spacing w:after="120"/>
      </w:pPr>
      <w:r>
        <w:t xml:space="preserve">D2 — Regla de calibración: n_calib = piso(M/2) reemplaza a N_GT_CALIB = 12, retrocompatible en M = 25.</w:t>
      </w:r>
    </w:p>
    <w:p>
      <w:pPr>
        <w:pStyle w:val="ListParagraph"/>
        <w:numPr>
          <w:ilvl w:val="0"/>
          <w:numId w:val="1"/>
        </w:numPr>
        <w:spacing w:after="120"/>
      </w:pPr>
      <w:r>
        <w:t xml:space="preserve">D3 — Puertas y criterios: G11, G12 y G13 como puertas; C11.a, C11.b, C11.c, C11.f(i) y C11.f(ii) como criterios vinculantes; C11.d y C11.e instrumentales, según § 3 del Borrador 8.</w:t>
      </w:r>
    </w:p>
    <w:p>
      <w:pPr>
        <w:pStyle w:val="ListParagraph"/>
        <w:numPr>
          <w:ilvl w:val="0"/>
          <w:numId w:val="1"/>
        </w:numPr>
        <w:spacing w:after="120"/>
      </w:pPr>
      <w:r>
        <w:t xml:space="preserve">D4 — Dataset y brazos: 60 configuraciones; brazo principal en M = 25 / 40 / 50; brazo de control en M = 25 / 50.</w:t>
      </w:r>
    </w:p>
    <w:p>
      <w:pPr>
        <w:pStyle w:val="ListParagraph"/>
        <w:numPr>
          <w:ilvl w:val="0"/>
          <w:numId w:val="1"/>
        </w:numPr>
        <w:spacing w:after="120"/>
      </w:pPr>
      <w:r>
        <w:t xml:space="preserve">D5 — Escenarios y regla de consecuencia: S11.1, S11.2 y S11.3 según § 4 del Borrador 8, con la herencia de M para v7.7-c decidida por anticipado.</w:t>
      </w:r>
    </w:p>
    <w:p>
      <w:pPr>
        <w:spacing w:after="120"/>
      </w:pPr>
      <w:r>
        <w:rPr>
          <w:b/>
          <w:bCs/>
        </w:rPr>
        <w:t xml:space="preserve">Precisión sobre la portada del Borrador 8. </w:t>
      </w:r>
      <w:r>
        <w:t xml:space="preserve">Donde ese documento señala que las decisiones D1–D5 «ya cuentan con fallo favorable», debe leerse como la recomendación favorable del segundo auditor, no como el fallo del responsable del programa. El fallo del responsable es el que consta en esta sección, y es el único que congela.</w:t>
      </w:r>
    </w:p>
    <w:p>
      <w:pPr>
        <w:pStyle w:val="Heading1"/>
        <w:spacing w:after="140" w:before="280"/>
      </w:pPr>
      <w:r>
        <w:t xml:space="preserve">3. Condiciones de congelamiento</w:t>
      </w:r>
    </w:p>
    <w:p>
      <w:pPr>
        <w:spacing w:after="120"/>
      </w:pPr>
      <w:r>
        <w:rPr>
          <w:b/>
          <w:bCs/>
        </w:rPr>
        <w:t xml:space="preserve">C1 — Prerregistro vinculante. </w:t>
      </w:r>
      <w:r>
        <w:t xml:space="preserve">Se congela la Hoja de Ruta v7.7-b Borrador 8. Ninguna de sus secciones puede alterarse sin nueva versión y nueva acta.</w:t>
      </w:r>
    </w:p>
    <w:p>
      <w:pPr>
        <w:spacing w:after="120"/>
      </w:pPr>
      <w:r>
        <w:rPr>
          <w:b/>
          <w:bCs/>
        </w:rPr>
        <w:t xml:space="preserve">C2 — Fallo D1–D5. </w:t>
      </w:r>
      <w:r>
        <w:t xml:space="preserve">Rige lo establecido en la § 2 de esta acta.</w:t>
      </w:r>
    </w:p>
    <w:p>
      <w:pPr>
        <w:spacing w:after="120"/>
      </w:pPr>
      <w:r>
        <w:rPr>
          <w:b/>
          <w:bCs/>
        </w:rPr>
        <w:t xml:space="preserve">C3 — Anclaje de dependencias. </w:t>
      </w:r>
      <w:r>
        <w:t xml:space="preserve">Se registran los SHA-256 del prerregistro congelado y de sus dependencias documentales y de datos, en la tabla de la § 4.</w:t>
      </w:r>
    </w:p>
    <w:p>
      <w:pPr>
        <w:spacing w:after="120"/>
      </w:pPr>
      <w:r>
        <w:rPr>
          <w:b/>
          <w:bCs/>
        </w:rPr>
        <w:t xml:space="preserve">C4 — Hash canónico del dataset (puerta G13). </w:t>
      </w:r>
      <w:r>
        <w:t xml:space="preserve">Se registra el SHA-256 del conjunto de configuraciones, calculado sobre la serialización estable definida en la § 5. El runner debe recalcularlo al inicio de cada par (brazo, M) y abortar el par si difiere.</w:t>
      </w:r>
    </w:p>
    <w:p>
      <w:pPr>
        <w:spacing w:after="120"/>
      </w:pPr>
      <w:r>
        <w:rPr>
          <w:b/>
          <w:bCs/>
        </w:rPr>
        <w:t xml:space="preserve">C5 — Artefacto de referencia de la puerta G11. </w:t>
      </w:r>
      <w:r>
        <w:t xml:space="preserve">La comparación por configuración y por celda que exige G11 se realiza contra mtps_c_v7_7a_table_long.csv, filtrada a n_ensemble = 50, con tolerancia absoluta de 1e-12 sobre cov_emp y tau_p, emparejando por config_id, snapshot, split_id y p_level. Se fija aquí para que la elección del artefacto de referencia no quede a criterio de quien implemente.</w:t>
      </w:r>
    </w:p>
    <w:p>
      <w:pPr>
        <w:spacing w:after="120"/>
      </w:pPr>
      <w:r>
        <w:rPr>
          <w:b/>
          <w:bCs/>
        </w:rPr>
        <w:t xml:space="preserve">C6 — Base y alcance del diff mínimo. </w:t>
      </w:r>
      <w:r>
        <w:t xml:space="preserve">El módulo común de v7.7-b debe derivar de mtps_c_v7_7a_common.py, cuyo SHA-256 se registra en la § 4. Sin ese anclaje, la exigencia de «diff mínimo declarado» no sería verificable, porque un diff se declara siempre contra una base que debe estar fijada. Se declara además, por anticipado, el conjunto de cambios permitidos sobre esa base:</w:t>
      </w:r>
    </w:p>
    <w:p>
      <w:pPr>
        <w:pStyle w:val="ListParagraph"/>
        <w:numPr>
          <w:ilvl w:val="0"/>
          <w:numId w:val="1"/>
        </w:numPr>
        <w:spacing w:after="120"/>
      </w:pPr>
      <w:r>
        <w:t xml:space="preserve">la regla n_calib = piso(M/2) en reemplazo de la constante N_GT_CALIB = 12;</w:t>
      </w:r>
    </w:p>
    <w:p>
      <w:pPr>
        <w:pStyle w:val="ListParagraph"/>
        <w:numPr>
          <w:ilvl w:val="0"/>
          <w:numId w:val="1"/>
        </w:numPr>
        <w:spacing w:after="120"/>
      </w:pPr>
      <w:r>
        <w:t xml:space="preserve">la implementación de las puertas G11, G12 y G13;</w:t>
      </w:r>
    </w:p>
    <w:p>
      <w:pPr>
        <w:pStyle w:val="ListParagraph"/>
        <w:numPr>
          <w:ilvl w:val="0"/>
          <w:numId w:val="1"/>
        </w:numPr>
        <w:spacing w:after="120"/>
      </w:pPr>
      <w:r>
        <w:t xml:space="preserve">el bloque de procedencia exigido por C9;</w:t>
      </w:r>
    </w:p>
    <w:p>
      <w:pPr>
        <w:pStyle w:val="ListParagraph"/>
        <w:numPr>
          <w:ilvl w:val="0"/>
          <w:numId w:val="1"/>
        </w:numPr>
        <w:spacing w:after="120"/>
      </w:pPr>
      <w:r>
        <w:t xml:space="preserve">los reportes adicionales que exige C11.f(iii) del prerregistro — distribución del proxy por celda y escalera de medianas de τ por nivel y M;</w:t>
      </w:r>
    </w:p>
    <w:p>
      <w:pPr>
        <w:pStyle w:val="ListParagraph"/>
        <w:numPr>
          <w:ilvl w:val="0"/>
          <w:numId w:val="1"/>
        </w:numPr>
        <w:spacing w:after="120"/>
      </w:pPr>
      <w:r>
        <w:t xml:space="preserve">la infraestructura de checkpoints y reanudación, sin efecto sobre el cómputo.</w:t>
      </w:r>
    </w:p>
    <w:p>
      <w:pPr>
        <w:spacing w:after="120"/>
      </w:pPr>
      <w:r>
        <w:t xml:space="preserve">Cualquier cambio fuera de esta lista constituye enmienda y exige declararse antes de correr. La razón de fijar el alcance ahora y no al escribir el diff es que un diff redactado después del código describe lo que se hizo; declarado antes, lo restringe. Es la misma distinción entre prerregistro y reporte que rige el resto del programa.</w:t>
      </w:r>
    </w:p>
    <w:p>
      <w:pPr>
        <w:spacing w:after="120"/>
      </w:pPr>
      <w:r>
        <w:rPr>
          <w:b/>
          <w:bCs/>
        </w:rPr>
        <w:t xml:space="preserve">C7 — Artefactos de código previos a la autorización. </w:t>
      </w:r>
      <w:r>
        <w:t xml:space="preserve">Antes de autorizar la corrida deben existir, y quedar registrados con su SHA-256 como anexo de esta acta: el módulo común v7.7-b, el runner, el consolidador y el artefacto de diff contra la base de C6.</w:t>
      </w:r>
    </w:p>
    <w:p>
      <w:pPr>
        <w:spacing w:after="120"/>
      </w:pPr>
      <w:r>
        <w:rPr>
          <w:b/>
          <w:bCs/>
        </w:rPr>
        <w:t xml:space="preserve">C8 — Orden de ejecución de las puertas. </w:t>
      </w:r>
      <w:r>
        <w:t xml:space="preserve">G13 al inicio de cada par (brazo, M); G11 antes de avanzar a M = 40 y M = 50; G12 antes de evaluar cobertura alguna en M = 40 y M = 50. El fallo de cualquiera de las tres emite artefacto de aborto y no se produce veredicto normal de escenario.</w:t>
      </w:r>
    </w:p>
    <w:p>
      <w:pPr>
        <w:spacing w:after="120"/>
      </w:pPr>
      <w:r>
        <w:rPr>
          <w:b/>
          <w:bCs/>
        </w:rPr>
        <w:t xml:space="preserve">C9 — Procedencia registrada en cada salida. </w:t>
      </w:r>
      <w:r>
        <w:t xml:space="preserve">Cada partial_b_m{M}.pkl debe incluir un bloque de procedencia con: versión de Python, versión de numpy, hash canónico del dataset efectivamente usado, y SHA-256 del módulo común empleado. G13 detecta una divergencia; este bloque permite establecer su causa y alimenta la sección de reproducibilidad del informe de cierre.</w:t>
      </w:r>
    </w:p>
    <w:p>
      <w:pPr>
        <w:spacing w:after="120"/>
      </w:pPr>
      <w:r>
        <w:rPr>
          <w:b/>
          <w:bCs/>
        </w:rPr>
        <w:t xml:space="preserve">C10 — Prohibición de corrección en sitio. </w:t>
      </w:r>
      <w:r>
        <w:t xml:space="preserve">Ningún documento, dato o script congelado se corrige en sitio. Toda modificación posterior exige nuevo número de versión, nuevo SHA-256 y nueva acta o enmienda explícita. La medida responde a dos incidentes registrados del programa: los duplicados y la corrección en sitio de la NT-01, y el episodio de dos ventanas de trabajo operando sobre los mismos archivos, ambos documentados en la § 7.3 del Borrador 8.</w:t>
      </w:r>
    </w:p>
    <w:p>
      <w:pPr>
        <w:pStyle w:val="Heading1"/>
        <w:spacing w:after="140" w:before="280"/>
      </w:pPr>
      <w:r>
        <w:t xml:space="preserve">4. Registro de SHA-256</w:t>
      </w:r>
    </w:p>
    <w:p>
      <w:pPr>
        <w:spacing w:after="120"/>
      </w:pPr>
      <w:r>
        <w:t xml:space="preserve">Valores calculados sobre los archivos disponibles al momento de emitir esta acta. Antes de firmar, cada hash debe recalcularse sobre la copia que efectivamente reside en MyDrive/mtps_c/, ya que un archivo reenviado o reexportado no conserva el hash.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50"/>
        <w:gridCol w:w="5550"/>
      </w:tblGrid>
      <w:tr>
        <w:tc>
          <w:tcPr>
            <w:tcW w:type="dxa" w:w="3450"/>
            <w:shd w:fill="E8E8E8" w:val="clear"/>
            <w:tcMar>
              <w:top w:type="dxa" w:w="50"/>
              <w:left w:type="dxa" w:w="90"/>
              <w:bottom w:type="dxa" w:w="50"/>
              <w:right w:type="dxa" w:w="90"/>
            </w:tcMar>
          </w:tcPr>
          <w:p>
            <w:pPr>
              <w:jc w:val="center"/>
            </w:pPr>
            <w:r>
              <w:rPr>
                <w:b/>
                <w:bCs/>
                <w:sz w:val="17"/>
                <w:szCs w:val="17"/>
              </w:rPr>
              <w:t xml:space="preserve">Artefacto</w:t>
            </w:r>
          </w:p>
        </w:tc>
        <w:tc>
          <w:tcPr>
            <w:tcW w:type="dxa" w:w="5550"/>
            <w:shd w:fill="E8E8E8" w:val="clear"/>
            <w:tcMar>
              <w:top w:type="dxa" w:w="50"/>
              <w:left w:type="dxa" w:w="90"/>
              <w:bottom w:type="dxa" w:w="50"/>
              <w:right w:type="dxa" w:w="90"/>
            </w:tcMar>
          </w:tcPr>
          <w:p>
            <w:pPr>
              <w:jc w:val="center"/>
            </w:pPr>
            <w:r>
              <w:rPr>
                <w:b/>
                <w:bCs/>
                <w:sz w:val="17"/>
                <w:szCs w:val="17"/>
              </w:rPr>
              <w:t xml:space="preserve">SHA-256</w:t>
            </w:r>
          </w:p>
        </w:tc>
      </w:tr>
      <w:tr>
        <w:tc>
          <w:tcPr>
            <w:tcW w:type="dxa" w:w="3450"/>
            <w:tcMar>
              <w:top w:type="dxa" w:w="50"/>
              <w:left w:type="dxa" w:w="90"/>
              <w:bottom w:type="dxa" w:w="50"/>
              <w:right w:type="dxa" w:w="90"/>
            </w:tcMar>
          </w:tcPr>
          <w:p>
            <w:pPr>
              <w:jc w:val="left"/>
            </w:pPr>
            <w:r>
              <w:rPr>
                <w:b w:val="false"/>
                <w:bCs w:val="false"/>
                <w:sz w:val="17"/>
                <w:szCs w:val="17"/>
              </w:rPr>
              <w:t xml:space="preserve">Hoja_de_Ruta_..._v7_7b_BORRADOR8.docx</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b25a08a68b7017ba0040f0f96b5d66f790b27db7f2fa6bf84ad9aab2f69cf635</w:t>
            </w:r>
          </w:p>
        </w:tc>
      </w:tr>
      <w:tr>
        <w:tc>
          <w:tcPr>
            <w:tcW w:type="dxa" w:w="3450"/>
            <w:tcMar>
              <w:top w:type="dxa" w:w="50"/>
              <w:left w:type="dxa" w:w="90"/>
              <w:bottom w:type="dxa" w:w="50"/>
              <w:right w:type="dxa" w:w="90"/>
            </w:tcMar>
          </w:tcPr>
          <w:p>
            <w:pPr>
              <w:jc w:val="left"/>
            </w:pPr>
            <w:r>
              <w:rPr>
                <w:b w:val="false"/>
                <w:bCs w:val="false"/>
                <w:sz w:val="17"/>
                <w:szCs w:val="17"/>
              </w:rPr>
              <w:t xml:space="preserve">Informe_de_Resultados_..._v7_7a.docx</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9fafe5fa053c4d1b41b1654d289a7b5cde32fa1e3fd2ccf79fa2ff92dbb8a527</w:t>
            </w:r>
          </w:p>
        </w:tc>
      </w:tr>
      <w:tr>
        <w:tc>
          <w:tcPr>
            <w:tcW w:type="dxa" w:w="3450"/>
            <w:tcMar>
              <w:top w:type="dxa" w:w="50"/>
              <w:left w:type="dxa" w:w="90"/>
              <w:bottom w:type="dxa" w:w="50"/>
              <w:right w:type="dxa" w:w="90"/>
            </w:tcMar>
          </w:tcPr>
          <w:p>
            <w:pPr>
              <w:jc w:val="left"/>
            </w:pPr>
            <w:r>
              <w:rPr>
                <w:b w:val="false"/>
                <w:bCs w:val="false"/>
                <w:sz w:val="17"/>
                <w:szCs w:val="17"/>
              </w:rPr>
              <w:t xml:space="preserve">Nota_Tecnica_NT01_..._rev4.docx</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24a31b4167ba878b120a8d186f6443b88e60fa3b78afa3de9fbcbb1f04823e4f</w:t>
            </w:r>
          </w:p>
        </w:tc>
      </w:tr>
      <w:tr>
        <w:tc>
          <w:tcPr>
            <w:tcW w:type="dxa" w:w="3450"/>
            <w:tcMar>
              <w:top w:type="dxa" w:w="50"/>
              <w:left w:type="dxa" w:w="90"/>
              <w:bottom w:type="dxa" w:w="50"/>
              <w:right w:type="dxa" w:w="90"/>
            </w:tcMar>
          </w:tcPr>
          <w:p>
            <w:pPr>
              <w:jc w:val="left"/>
            </w:pPr>
            <w:r>
              <w:rPr>
                <w:b w:val="false"/>
                <w:bCs w:val="false"/>
                <w:sz w:val="17"/>
                <w:szCs w:val="17"/>
              </w:rPr>
              <w:t xml:space="preserve">Hoja_de_Ruta_..._v7_7a.docx</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1fc5fcf84d6553fb1d021890c35cc022e811462ee2783b23f729eea932e009a1</w:t>
            </w:r>
          </w:p>
        </w:tc>
      </w:tr>
      <w:tr>
        <w:tc>
          <w:tcPr>
            <w:tcW w:type="dxa" w:w="3450"/>
            <w:tcMar>
              <w:top w:type="dxa" w:w="50"/>
              <w:left w:type="dxa" w:w="90"/>
              <w:bottom w:type="dxa" w:w="50"/>
              <w:right w:type="dxa" w:w="90"/>
            </w:tcMar>
          </w:tcPr>
          <w:p>
            <w:pPr>
              <w:jc w:val="left"/>
            </w:pPr>
            <w:r>
              <w:rPr>
                <w:b w:val="false"/>
                <w:bCs w:val="false"/>
                <w:sz w:val="17"/>
                <w:szCs w:val="17"/>
              </w:rPr>
              <w:t xml:space="preserve">NA-01_Auditoria_..._v7_7b.docx</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eaa7570ab8c6ba8c93fa341f3c4b20d483b453e6ecd02eb4b3aa1ff0887b6991</w:t>
            </w:r>
          </w:p>
        </w:tc>
      </w:tr>
      <w:tr>
        <w:tc>
          <w:tcPr>
            <w:tcW w:type="dxa" w:w="3450"/>
            <w:tcMar>
              <w:top w:type="dxa" w:w="50"/>
              <w:left w:type="dxa" w:w="90"/>
              <w:bottom w:type="dxa" w:w="50"/>
              <w:right w:type="dxa" w:w="90"/>
            </w:tcMar>
          </w:tcPr>
          <w:p>
            <w:pPr>
              <w:jc w:val="left"/>
            </w:pPr>
            <w:r>
              <w:rPr>
                <w:b w:val="false"/>
                <w:bCs w:val="false"/>
                <w:sz w:val="17"/>
                <w:szCs w:val="17"/>
              </w:rPr>
              <w:t xml:space="preserve">LIT-00_..._v1_0.docx</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197d295f096d98a3414f2b17697cbd64d14886512ec3f8b89a00748435aebe66</w:t>
            </w:r>
          </w:p>
        </w:tc>
      </w:tr>
      <w:tr>
        <w:tc>
          <w:tcPr>
            <w:tcW w:type="dxa" w:w="3450"/>
            <w:tcMar>
              <w:top w:type="dxa" w:w="50"/>
              <w:left w:type="dxa" w:w="90"/>
              <w:bottom w:type="dxa" w:w="50"/>
              <w:right w:type="dxa" w:w="90"/>
            </w:tcMar>
          </w:tcPr>
          <w:p>
            <w:pPr>
              <w:jc w:val="left"/>
            </w:pPr>
            <w:r>
              <w:rPr>
                <w:b w:val="false"/>
                <w:bCs w:val="false"/>
                <w:sz w:val="17"/>
                <w:szCs w:val="17"/>
              </w:rPr>
              <w:t xml:space="preserve">mtps_c_v7_7a_table_long.csv</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59073d2f7e23c94d12479dde802f246c251a59c2ab9fc83d3655792b73d2d9e0</w:t>
            </w:r>
          </w:p>
        </w:tc>
      </w:tr>
      <w:tr>
        <w:tc>
          <w:tcPr>
            <w:tcW w:type="dxa" w:w="3450"/>
            <w:tcMar>
              <w:top w:type="dxa" w:w="50"/>
              <w:left w:type="dxa" w:w="90"/>
              <w:bottom w:type="dxa" w:w="50"/>
              <w:right w:type="dxa" w:w="90"/>
            </w:tcMar>
          </w:tcPr>
          <w:p>
            <w:pPr>
              <w:jc w:val="left"/>
            </w:pPr>
            <w:r>
              <w:rPr>
                <w:b w:val="false"/>
                <w:bCs w:val="false"/>
                <w:sz w:val="17"/>
                <w:szCs w:val="17"/>
              </w:rPr>
              <w:t xml:space="preserve">mtps_c_v7_7a_table_cells.csv</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d0fd6c362e1f44f43f950979f6fd81b0a194767cd716b76e3d64cc396b4915c6</w:t>
            </w:r>
          </w:p>
        </w:tc>
      </w:tr>
      <w:tr>
        <w:tc>
          <w:tcPr>
            <w:tcW w:type="dxa" w:w="3450"/>
            <w:tcMar>
              <w:top w:type="dxa" w:w="50"/>
              <w:left w:type="dxa" w:w="90"/>
              <w:bottom w:type="dxa" w:w="50"/>
              <w:right w:type="dxa" w:w="90"/>
            </w:tcMar>
          </w:tcPr>
          <w:p>
            <w:pPr>
              <w:jc w:val="left"/>
            </w:pPr>
            <w:r>
              <w:rPr>
                <w:b w:val="false"/>
                <w:bCs w:val="false"/>
                <w:sz w:val="17"/>
                <w:szCs w:val="17"/>
              </w:rPr>
              <w:t xml:space="preserve">mtps_c_v7_7a_configs.json</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afd73dfbf7ac6b481e054f44e510611d1db327160c1b125d24f29b6597fda8fc</w:t>
            </w:r>
          </w:p>
        </w:tc>
      </w:tr>
      <w:tr>
        <w:tc>
          <w:tcPr>
            <w:tcW w:type="dxa" w:w="3450"/>
            <w:tcMar>
              <w:top w:type="dxa" w:w="50"/>
              <w:left w:type="dxa" w:w="90"/>
              <w:bottom w:type="dxa" w:w="50"/>
              <w:right w:type="dxa" w:w="90"/>
            </w:tcMar>
          </w:tcPr>
          <w:p>
            <w:pPr>
              <w:jc w:val="left"/>
            </w:pPr>
            <w:r>
              <w:rPr>
                <w:b w:val="false"/>
                <w:bCs w:val="false"/>
                <w:sz w:val="17"/>
                <w:szCs w:val="17"/>
              </w:rPr>
              <w:t xml:space="preserve">tiempos_por_config.csv</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b9623ee06ff51e9b73190dc2fb12b6fd0b82170e63062c6aa6e21a833d6f1976</w:t>
            </w:r>
          </w:p>
        </w:tc>
      </w:tr>
      <w:tr>
        <w:tc>
          <w:tcPr>
            <w:tcW w:type="dxa" w:w="3450"/>
            <w:tcMar>
              <w:top w:type="dxa" w:w="50"/>
              <w:left w:type="dxa" w:w="90"/>
              <w:bottom w:type="dxa" w:w="50"/>
              <w:right w:type="dxa" w:w="90"/>
            </w:tcMar>
          </w:tcPr>
          <w:p>
            <w:pPr>
              <w:jc w:val="left"/>
            </w:pPr>
            <w:r>
              <w:rPr>
                <w:b w:val="false"/>
                <w:bCs w:val="false"/>
                <w:sz w:val="17"/>
                <w:szCs w:val="17"/>
              </w:rPr>
              <w:t xml:space="preserve">mtps_c_v7_7a_common.py (base del diff, C6)</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d0a7b151ff6d456ab2cf51cfbebfddb98b93696d6e676b0c7e8d80930dacf74e</w:t>
            </w:r>
          </w:p>
        </w:tc>
      </w:tr>
      <w:tr>
        <w:tc>
          <w:tcPr>
            <w:tcW w:type="dxa" w:w="3450"/>
            <w:tcMar>
              <w:top w:type="dxa" w:w="50"/>
              <w:left w:type="dxa" w:w="90"/>
              <w:bottom w:type="dxa" w:w="50"/>
              <w:right w:type="dxa" w:w="90"/>
            </w:tcMar>
          </w:tcPr>
          <w:p>
            <w:pPr>
              <w:jc w:val="left"/>
            </w:pPr>
            <w:r>
              <w:rPr>
                <w:b w:val="false"/>
                <w:bCs w:val="false"/>
                <w:sz w:val="17"/>
                <w:szCs w:val="17"/>
              </w:rPr>
              <w:t xml:space="preserve">Dataset canónico de 60 configs (G13, C4)</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b2b0937a069d0170d9379ae08919067b9fff3e5ffc967a9f580425a80efedf47</w:t>
            </w:r>
          </w:p>
        </w:tc>
      </w:tr>
      <w:tr>
        <w:tc>
          <w:tcPr>
            <w:tcW w:type="dxa" w:w="3450"/>
            <w:tcMar>
              <w:top w:type="dxa" w:w="50"/>
              <w:left w:type="dxa" w:w="90"/>
              <w:bottom w:type="dxa" w:w="50"/>
              <w:right w:type="dxa" w:w="90"/>
            </w:tcMar>
          </w:tcPr>
          <w:p>
            <w:pPr>
              <w:jc w:val="left"/>
            </w:pPr>
            <w:r>
              <w:rPr>
                <w:b w:val="false"/>
                <w:bCs w:val="false"/>
                <w:sz w:val="17"/>
                <w:szCs w:val="17"/>
              </w:rPr>
              <w:t xml:space="preserve">mtps_c_v7_7b_common.py</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pendiente — condición C7</w:t>
            </w:r>
          </w:p>
        </w:tc>
      </w:tr>
      <w:tr>
        <w:tc>
          <w:tcPr>
            <w:tcW w:type="dxa" w:w="3450"/>
            <w:tcMar>
              <w:top w:type="dxa" w:w="50"/>
              <w:left w:type="dxa" w:w="90"/>
              <w:bottom w:type="dxa" w:w="50"/>
              <w:right w:type="dxa" w:w="90"/>
            </w:tcMar>
          </w:tcPr>
          <w:p>
            <w:pPr>
              <w:jc w:val="left"/>
            </w:pPr>
            <w:r>
              <w:rPr>
                <w:b w:val="false"/>
                <w:bCs w:val="false"/>
                <w:sz w:val="17"/>
                <w:szCs w:val="17"/>
              </w:rPr>
              <w:t xml:space="preserve">Runner v7.7-b</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pendiente — condición C7</w:t>
            </w:r>
          </w:p>
        </w:tc>
      </w:tr>
      <w:tr>
        <w:tc>
          <w:tcPr>
            <w:tcW w:type="dxa" w:w="3450"/>
            <w:tcMar>
              <w:top w:type="dxa" w:w="50"/>
              <w:left w:type="dxa" w:w="90"/>
              <w:bottom w:type="dxa" w:w="50"/>
              <w:right w:type="dxa" w:w="90"/>
            </w:tcMar>
          </w:tcPr>
          <w:p>
            <w:pPr>
              <w:jc w:val="left"/>
            </w:pPr>
            <w:r>
              <w:rPr>
                <w:b w:val="false"/>
                <w:bCs w:val="false"/>
                <w:sz w:val="17"/>
                <w:szCs w:val="17"/>
              </w:rPr>
              <w:t xml:space="preserve">Consolidador v7.7-b</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pendiente — condición C7</w:t>
            </w:r>
          </w:p>
        </w:tc>
      </w:tr>
      <w:tr>
        <w:tc>
          <w:tcPr>
            <w:tcW w:type="dxa" w:w="3450"/>
            <w:tcMar>
              <w:top w:type="dxa" w:w="50"/>
              <w:left w:type="dxa" w:w="90"/>
              <w:bottom w:type="dxa" w:w="50"/>
              <w:right w:type="dxa" w:w="90"/>
            </w:tcMar>
          </w:tcPr>
          <w:p>
            <w:pPr>
              <w:jc w:val="left"/>
            </w:pPr>
            <w:r>
              <w:rPr>
                <w:b w:val="false"/>
                <w:bCs w:val="false"/>
                <w:sz w:val="17"/>
                <w:szCs w:val="17"/>
              </w:rPr>
              <w:t xml:space="preserve">Artefacto de diff contra la base de C6</w:t>
            </w:r>
          </w:p>
        </w:tc>
        <w:tc>
          <w:tcPr>
            <w:tcW w:type="dxa" w:w="5550"/>
            <w:tcMar>
              <w:top w:type="dxa" w:w="50"/>
              <w:left w:type="dxa" w:w="90"/>
              <w:bottom w:type="dxa" w:w="50"/>
              <w:right w:type="dxa" w:w="90"/>
            </w:tcMar>
          </w:tcPr>
          <w:p>
            <w:pPr>
              <w:jc w:val="left"/>
            </w:pPr>
            <w:r>
              <w:rPr>
                <w:rFonts w:ascii="Consolas" w:cs="Consolas" w:eastAsia="Consolas" w:hAnsi="Consolas"/>
                <w:b w:val="false"/>
                <w:bCs w:val="false"/>
                <w:sz w:val="14"/>
                <w:szCs w:val="14"/>
              </w:rPr>
              <w:t xml:space="preserve">pendiente — condición C7</w:t>
            </w:r>
          </w:p>
        </w:tc>
      </w:tr>
    </w:tbl>
    <w:p>
      <w:pPr>
        <w:spacing w:after="160"/>
      </w:pPr>
    </w:p>
    <w:p>
      <w:pPr>
        <w:spacing w:after="120"/>
      </w:pPr>
      <w:r>
        <w:rPr>
          <w:b/>
          <w:bCs/>
        </w:rPr>
        <w:t xml:space="preserve">Resolución de la ambigüedad de la NT-01. </w:t>
      </w:r>
      <w:r>
        <w:t xml:space="preserve">El programa registraba dos contenidos distintos bajo el número «revisión 3» — el primero anclado en el libro de 2005, el segundo en Vovk 2012 —, separados únicamente por la constancia de que la primera emisión no había circulado. Por decisión del responsable del programa, la segunda emisión se renumera como revisión 4, sin cambio alguno de contenido, y el número 3 queda retirado del registro. La nota renumerada declara la razón en su portada y es la que ancla este prerregistro con el hash consignado arriba.</w:t>
      </w:r>
    </w:p>
    <w:p>
      <w:pPr>
        <w:pStyle w:val="Heading1"/>
        <w:spacing w:after="140" w:before="280"/>
      </w:pPr>
      <w:r>
        <w:t xml:space="preserve">5. Serialización canónica del dataset (puerta G13)</w:t>
      </w:r>
    </w:p>
    <w:p>
      <w:pPr>
        <w:spacing w:after="120"/>
      </w:pPr>
      <w:r>
        <w:t xml:space="preserve">El hash de C4 se calcula sobre una serialización estable, independiente del formato de archivo y del orden de las claves, para que el runner pueda reproducirlo en cualquier sesión. La definición es: una línea por configuración, en el orden en que el generador las produce, con cuatro campos separados por barra vertical — config_id, subset, regime_or_subtype y source_seed —, líneas unidas por salto de línea, con salto final, codificadas en UTF-8.</w:t>
      </w:r>
    </w:p>
    <w:p>
      <w:pPr>
        <w:spacing w:after="40"/>
      </w:pPr>
      <w:r>
        <w:rPr>
          <w:rFonts w:ascii="Consolas" w:cs="Consolas" w:eastAsia="Consolas" w:hAnsi="Consolas"/>
          <w:sz w:val="17"/>
          <w:szCs w:val="17"/>
        </w:rPr>
        <w:t xml:space="preserve">ID_figura_ocho_00|in_distribution|figura_ocho|42</w:t>
      </w:r>
    </w:p>
    <w:p>
      <w:pPr>
        <w:spacing w:after="40"/>
      </w:pPr>
      <w:r>
        <w:rPr>
          <w:rFonts w:ascii="Consolas" w:cs="Consolas" w:eastAsia="Consolas" w:hAnsi="Consolas"/>
          <w:sz w:val="17"/>
          <w:szCs w:val="17"/>
        </w:rPr>
        <w:t xml:space="preserve">...</w:t>
      </w:r>
    </w:p>
    <w:p>
      <w:pPr>
        <w:spacing w:after="40"/>
      </w:pPr>
      <w:r>
        <w:rPr>
          <w:rFonts w:ascii="Consolas" w:cs="Consolas" w:eastAsia="Consolas" w:hAnsi="Consolas"/>
          <w:sz w:val="17"/>
          <w:szCs w:val="17"/>
        </w:rPr>
        <w:t xml:space="preserve">OOD_FAR_no_virializado_03|ood_far|no_virializado|7878</w:t>
      </w:r>
    </w:p>
    <w:p>
      <w:pPr>
        <w:spacing w:after="160"/>
      </w:pPr>
    </w:p>
    <w:p>
      <w:pPr>
        <w:spacing w:after="120"/>
      </w:pPr>
      <w:r>
        <w:t xml:space="preserve">Implementación de referencia, que debe producir el hash registrado en la § 4:</w:t>
      </w:r>
    </w:p>
    <w:p>
      <w:pPr>
        <w:spacing w:after="40"/>
      </w:pPr>
      <w:r>
        <w:rPr>
          <w:rFonts w:ascii="Consolas" w:cs="Consolas" w:eastAsia="Consolas" w:hAnsi="Consolas"/>
          <w:sz w:val="17"/>
          <w:szCs w:val="17"/>
        </w:rPr>
        <w:t xml:space="preserve">lineas = [f"{c['config_id']}|{c['subset']}|"</w:t>
      </w:r>
    </w:p>
    <w:p>
      <w:pPr>
        <w:spacing w:after="40"/>
      </w:pPr>
      <w:r>
        <w:rPr>
          <w:rFonts w:ascii="Consolas" w:cs="Consolas" w:eastAsia="Consolas" w:hAnsi="Consolas"/>
          <w:sz w:val="17"/>
          <w:szCs w:val="17"/>
        </w:rPr>
        <w:t xml:space="preserve">          f"{c['regime_or_subtype']}|{c['source_seed']}"</w:t>
      </w:r>
    </w:p>
    <w:p>
      <w:pPr>
        <w:spacing w:after="40"/>
      </w:pPr>
      <w:r>
        <w:rPr>
          <w:rFonts w:ascii="Consolas" w:cs="Consolas" w:eastAsia="Consolas" w:hAnsi="Consolas"/>
          <w:sz w:val="17"/>
          <w:szCs w:val="17"/>
        </w:rPr>
        <w:t xml:space="preserve">          for c in dataset]</w:t>
      </w:r>
    </w:p>
    <w:p>
      <w:pPr>
        <w:spacing w:after="40"/>
      </w:pPr>
      <w:r>
        <w:rPr>
          <w:rFonts w:ascii="Consolas" w:cs="Consolas" w:eastAsia="Consolas" w:hAnsi="Consolas"/>
          <w:sz w:val="17"/>
          <w:szCs w:val="17"/>
        </w:rPr>
        <w:t xml:space="preserve">blob = ("\n".join(lineas) + "\n").encode("utf-8")</w:t>
      </w:r>
    </w:p>
    <w:p>
      <w:pPr>
        <w:spacing w:after="40"/>
      </w:pPr>
      <w:r>
        <w:rPr>
          <w:rFonts w:ascii="Consolas" w:cs="Consolas" w:eastAsia="Consolas" w:hAnsi="Consolas"/>
          <w:sz w:val="17"/>
          <w:szCs w:val="17"/>
        </w:rPr>
        <w:t xml:space="preserve">hashlib.sha256(blob).hexdigest()</w:t>
      </w:r>
    </w:p>
    <w:p>
      <w:pPr>
        <w:spacing w:after="160"/>
      </w:pPr>
    </w:p>
    <w:p>
      <w:pPr>
        <w:spacing w:after="120"/>
      </w:pPr>
      <w:r>
        <w:t xml:space="preserve">Se hace constar que el hash registrado se calculó sobre las 60 configuraciones de mtps_c_v7_7a_configs.json, de modo que verifica la identidad del dataset tanto entre los pares (brazo, M) de v7.7-b como respecto del dataset efectivamente usado en v7.7-a.</w:t>
      </w:r>
    </w:p>
    <w:p>
      <w:pPr>
        <w:pStyle w:val="Heading1"/>
        <w:spacing w:after="140" w:before="280"/>
      </w:pPr>
      <w:r>
        <w:t xml:space="preserve">6. Estado y autorización</w:t>
      </w:r>
    </w:p>
    <w:p>
      <w:pPr>
        <w:spacing w:after="120"/>
      </w:pPr>
      <w:r>
        <w:t xml:space="preserve">Con la firma de esta acta queda congelado el prerregistro y aprobadas D1–D5. La corrida NO queda autorizada: la autorización requiere el cumplimiento de C7 — existencia y registro de los cuatro artefactos de código con sus SHA-256 —, que se incorporará como anexo firmado de esta misma acta.</w:t>
      </w:r>
    </w:p>
    <w:p>
      <w:pPr>
        <w:spacing w:after="120"/>
      </w:pPr>
      <w:r>
        <w:t xml:space="preserve">Regla de escalamiento acordada para la etapa: si antes de la corrida apareciera una observación nueva, se evalúa una sola vez. Solo se abre una versión del prerregistro si se trata de una puerta que puede abortar la corrida o de un criterio vinculante; cualquier otra observación se resuelve en esta acta o en el código, sin abrir un borrador adicional.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Congelamiento 01 — MTPS-C v7.7-b</dc:title>
  <dc:creator>Programa MTPS-C</dc:creator>
  <cp:lastModifiedBy>Un-named</cp:lastModifiedBy>
  <cp:revision>1</cp:revision>
  <dcterms:created xsi:type="dcterms:W3CDTF">2026-08-13T13:36:03.742Z</dcterms:created>
  <dcterms:modified xsi:type="dcterms:W3CDTF">2026-08-13T13:36:03.761Z</dcterms:modified>
</cp:coreProperties>
</file>

<file path=docProps/custom.xml><?xml version="1.0" encoding="utf-8"?>
<Properties xmlns="http://schemas.openxmlformats.org/officeDocument/2006/custom-properties" xmlns:vt="http://schemas.openxmlformats.org/officeDocument/2006/docPropsVTypes"/>
</file>