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1"/>
          <w:szCs w:val="31"/>
        </w:rPr>
        <w:t xml:space="preserve">Acta de Congelamiento 02 — MTPS-C v7.7-c</w:t>
      </w:r>
    </w:p>
    <w:p>
      <w:pPr>
        <w:spacing w:after="160"/>
        <w:jc w:val="center"/>
      </w:pPr>
      <w:r>
        <w:rPr>
          <w:i/>
          <w:iCs/>
          <w:sz w:val="23"/>
          <w:szCs w:val="23"/>
        </w:rPr>
        <w:t xml:space="preserve">Horizonte útil — Profundidad temporal</w:t>
      </w:r>
    </w:p>
    <w:p>
      <w:pPr>
        <w:spacing w:after="160"/>
        <w:jc w:val="center"/>
      </w:pPr>
      <w:r>
        <w:rPr>
          <w:b/>
          <w:bCs/>
          <w:sz w:val="20"/>
          <w:szCs w:val="20"/>
        </w:rPr>
        <w:t xml:space="preserve">NO AUTORIZA CORRIDA HASTA EL ANEXO C7-c</w:t>
      </w:r>
    </w:p>
    <w:p>
      <w:pPr>
        <w:spacing w:after="60"/>
        <w:jc w:val="center"/>
      </w:pPr>
      <w:r>
        <w:rPr>
          <w:b/>
          <w:bCs/>
          <w:sz w:val="21"/>
          <w:szCs w:val="21"/>
        </w:rPr>
        <w:t xml:space="preserve">Joaquín Peñafiel</w:t>
      </w:r>
    </w:p>
    <w:p>
      <w:pPr>
        <w:spacing w:after="200"/>
        <w:jc w:val="center"/>
      </w:pPr>
      <w:r>
        <w:rPr>
          <w:sz w:val="20"/>
          <w:szCs w:val="20"/>
        </w:rPr>
        <w:t xml:space="preserve">Chile · 13 de septiembre de 2026</w:t>
      </w:r>
    </w:p>
    <w:p>
      <w:pPr>
        <w:pBdr>
          <w:bottom w:val="single" w:color="AAAAAA" w:sz="6"/>
        </w:pBdr>
        <w:spacing w:after="160"/>
      </w:pPr>
    </w:p>
    <w:p>
      <w:pPr>
        <w:pStyle w:val="Heading1"/>
        <w:spacing w:after="140" w:before="280"/>
      </w:pPr>
      <w:r>
        <w:t xml:space="preserve">1. Objeto</w:t>
      </w:r>
    </w:p>
    <w:p>
      <w:pPr>
        <w:spacing w:after="120"/>
      </w:pPr>
      <w:r>
        <w:t xml:space="preserve">Esta acta congela la Hoja de Ruta MTPS-C v7.7-c, Borrador 5, como prerregistro vinculante del experimento de horizonte útil, y fija las condiciones bajo las cuales quedará autorizada su corrida. No modifica el prerregistro: registra el fallo sobre las decisiones de diseño, ancla las versiones mediante SHA-256 y establece las condiciones de ejecución.</w:t>
      </w:r>
    </w:p>
    <w:p>
      <w:pPr>
        <w:spacing w:after="120"/>
      </w:pPr>
      <w:r>
        <w:t xml:space="preserve">El Borrador 5 recorrió cuatro rondas de auditoría con redacción y revisión alternadas, conforme a la regla del programa de que quien redacta una versión no la audita. Su § 8 registra la trazabilidad completa de enmiendas, incluidas las que se rechazaron y por qué.</w:t>
      </w:r>
    </w:p>
    <w:p>
      <w:pPr>
        <w:pStyle w:val="Heading1"/>
        <w:spacing w:after="140" w:before="280"/>
      </w:pPr>
      <w:r>
        <w:t xml:space="preserve">2. Fallo sobre las decisiones de diseño D1–D5</w:t>
      </w:r>
    </w:p>
    <w:p>
      <w:pPr>
        <w:spacing w:after="120"/>
      </w:pPr>
      <w:r>
        <w:t xml:space="preserve">Se aprueban D1–D5 sin nuevas enmiendas y se aceptan las puertas G14, G15, G16 y G17 como parte del prerregistro.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D1 — Variable operativa: el factor de horizonte H = 4, con punto de control intermedio en H = 2, manteniendo constante el espaciado entre snapshots. M = 40 heredado de v7.7-b, N = 50 fijo, k y ε congelados.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D2 — Criterio estructural primario: la varianza explicada por una base fija de dos componentes principales, con umbral 0,95 heredado de la constante del método congelado, y con el alcance de su incumplimiento declarado como frontera de compresibilidad bidimensional y no como invalidez del método.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D3 — Reparto de criterios: C12.a y C12.c vinculantes; C12.b, C12.d y C12.e instrumentales, incluida la constancia de por qué la agudeza relativa no se declara vinculante.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D4 — Dataset y brazos: 60 configuraciones con las semillas de v7.7-a y v7.7-b, brazo principal en H = 2 y H = 4, sin brazo de control, con las tres razones y el límite de atribución declarados en la § 2.3 del prerregistro.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D5 — Escenarios y regla de consecuencia: S12.1, S12.2 y S12.3 con la lógica invertida respecto de las etapas anteriores, en que medir la frontera es el resultado favorable y no encontrarla dentro del rango es una cota inferior legítima pero incompleta.</w:t>
      </w:r>
    </w:p>
    <w:p>
      <w:pPr>
        <w:spacing w:after="120"/>
      </w:pPr>
      <w:r>
        <w:rPr>
          <w:b/>
          <w:bCs/>
        </w:rPr>
        <w:t xml:space="preserve">Constancia sobre los fallos previos. </w:t>
      </w:r>
      <w:r>
        <w:t xml:space="preserve">El segundo auditor emitió fallo favorable sobre D1–D5 y sobre los deltas de los Borradores 3, 4 y 5. Esos fallos son recomendaciones; el fallo que congela es el que consta en esta sección.</w:t>
      </w:r>
    </w:p>
    <w:p>
      <w:pPr>
        <w:pStyle w:val="Heading1"/>
        <w:spacing w:after="140" w:before="280"/>
      </w:pPr>
      <w:r>
        <w:t xml:space="preserve">3. Condiciones de congelamiento</w:t>
      </w:r>
    </w:p>
    <w:p>
      <w:pPr>
        <w:spacing w:after="120"/>
      </w:pPr>
      <w:r>
        <w:rPr>
          <w:b/>
          <w:bCs/>
        </w:rPr>
        <w:t xml:space="preserve">C1 — Prerregistro vinculante. </w:t>
      </w:r>
      <w:r>
        <w:t xml:space="preserve">Se congela la Hoja de Ruta v7.7-c Borrador 5. Ninguna de sus secciones puede alterarse sin nueva versión y nueva acta.</w:t>
      </w:r>
    </w:p>
    <w:p>
      <w:pPr>
        <w:spacing w:after="120"/>
      </w:pPr>
      <w:r>
        <w:rPr>
          <w:b/>
          <w:bCs/>
        </w:rPr>
        <w:t xml:space="preserve">C2 — Fallo D1–D5. </w:t>
      </w:r>
      <w:r>
        <w:t xml:space="preserve">Rige lo establecido en la § 2 de esta acta.</w:t>
      </w:r>
    </w:p>
    <w:p>
      <w:pPr>
        <w:spacing w:after="120"/>
      </w:pPr>
      <w:r>
        <w:rPr>
          <w:b/>
          <w:bCs/>
        </w:rPr>
        <w:t xml:space="preserve">C3 — Anclaje de dependencias. </w:t>
      </w:r>
      <w:r>
        <w:t xml:space="preserve">Se registran los SHA-256 del prerregistro congelado y de sus dependencias documentales y de datos, en la tabla de la § 4.</w:t>
      </w:r>
    </w:p>
    <w:p>
      <w:pPr>
        <w:spacing w:after="120"/>
      </w:pPr>
      <w:r>
        <w:rPr>
          <w:b/>
          <w:bCs/>
        </w:rPr>
        <w:t xml:space="preserve">C4 — Hash canónico del dataset (puerta G15). </w:t>
      </w:r>
      <w:r>
        <w:t xml:space="preserve">Se conserva sin cambio el valor registrado en el Acta de Congelamiento 01 y la serialización estable allí definida. El runner debe recalcularlo al inicio de cada par (brazo, H) y abortar si difiere.</w:t>
      </w:r>
    </w:p>
    <w:p>
      <w:pPr>
        <w:spacing w:after="120"/>
      </w:pPr>
      <w:r>
        <w:rPr>
          <w:b/>
          <w:bCs/>
        </w:rPr>
        <w:t xml:space="preserve">C5 — Artefactos de referencia de las puertas de regresión. </w:t>
      </w:r>
      <w:r>
        <w:t xml:space="preserve">G14 compara contra mtps_c_v7_7b_table_long.csv filtrada a M = 40 y modo principal, con tolerancia absoluta de 1e-12 sobre cobertura empírica y radio conformal, emparejando por config_id, snapshot, split_id y nivel. G17 compara los brazos H = 2 y H = 4 de esta misma etapa con idéntica tolerancia y emparejamiento. Los alcances acotados de ambas puertas —snapshots 1 a 9 con aborto en G14, y 1 a 19 con aborto en G17— rigen conforme a la § 3.1 del prerregistro y no pueden ampliarse ni restringirse después de correr.</w:t>
      </w:r>
    </w:p>
    <w:p>
      <w:pPr>
        <w:spacing w:after="120"/>
      </w:pPr>
      <w:r>
        <w:rPr>
          <w:b/>
          <w:bCs/>
        </w:rPr>
        <w:t xml:space="preserve">C6 — Base y alcance del diff mínimo. </w:t>
      </w:r>
      <w:r>
        <w:t xml:space="preserve">El módulo común de v7.7-c debe derivar de mtps_c_v7_7b_common.py, cuyo SHA-256 se registra en la § 4, aplicando el mismo criterio de arquitectura que rigió en v7.7-b: importar de la base todo lo que no cambia en lugar de copiarlo, de modo que el diff sea literal y no una descripción. Se declara por anticipado el conjunto de cambios permitidos: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la regla N_SNAPSHOTS = 10·H y el horizonte de integración H·T_adaptive, en reemplazo de la constante y del horizonte simple;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la implementación de las puertas G14, G15, G16 y G17, con sus alcances acotados;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el bloque de procedencia exigido por C9, extendido para registrar H;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los tres reportes obligatorios de la § 3.4 del prerregistro: varianza explicada por una base fija de dos componentes, radio de la envolvente del ensemble por celda, y escalera de τ por nivel y snapshot;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el reporte de d_eff_raw junto a d_eff_model, exigido por C12.e;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la infraestructura de checkpoints y reanudación por par (brazo, H), sin efecto sobre el cómputo.</w:t>
      </w:r>
    </w:p>
    <w:p>
      <w:pPr>
        <w:spacing w:after="120"/>
      </w:pPr>
      <w:r>
        <w:t xml:space="preserve">Cualquier cambio fuera de esta lista constituye enmienda y exige declararse antes de correr. La razón de fijar el alcance ahora y no al escribir el diff es la misma que rigió en v7.7-b: un diff redactado después del código describe lo que se hizo; declarado antes, lo restringe.</w:t>
      </w:r>
    </w:p>
    <w:p>
      <w:pPr>
        <w:spacing w:after="120"/>
      </w:pPr>
      <w:r>
        <w:rPr>
          <w:b/>
          <w:bCs/>
        </w:rPr>
        <w:t xml:space="preserve">C7-c — Artefactos de código previos a la autorización. </w:t>
      </w:r>
      <w:r>
        <w:t xml:space="preserve">Antes de autorizar la corrida deben existir, y quedar registrados con su SHA-256 como anexo de esta acta: el módulo común de v7.7-c, el runner, el consolidador y el artefacto de diff contra la base de C6.</w:t>
      </w:r>
    </w:p>
    <w:p>
      <w:pPr>
        <w:spacing w:after="120"/>
      </w:pPr>
      <w:r>
        <w:rPr>
          <w:b/>
          <w:bCs/>
        </w:rPr>
        <w:t xml:space="preserve">C8 — Orden de ejecución de las puertas. </w:t>
      </w:r>
      <w:r>
        <w:t xml:space="preserve">G15 y G16 al inicio de cada par (brazo, H), antes de computar nada. G14 sobre el brazo H = 2 antes de lanzar H = 4. G17 tras completar ambos brazos y antes de emitir veredicto, junto con la reejecución de G14 sobre H = 4. El fallo de cualquiera de las cuatro, dentro de su alcance acotado, emite artefacto de aborto y no se produce veredicto de escenario.</w:t>
      </w:r>
    </w:p>
    <w:p>
      <w:pPr>
        <w:spacing w:after="120"/>
      </w:pPr>
      <w:r>
        <w:rPr>
          <w:b/>
          <w:bCs/>
        </w:rPr>
        <w:t xml:space="preserve">C9 — Procedencia registrada en cada salida. </w:t>
      </w:r>
      <w:r>
        <w:t xml:space="preserve">Cada partial_c_h{H}.pkl debe incluir un bloque de procedencia con versión de Python, versión de numpy, hash canónico del dataset efectivamente usado, SHA-256 del módulo común empleado, y el valor de H.</w:t>
      </w:r>
    </w:p>
    <w:p>
      <w:pPr>
        <w:spacing w:after="120"/>
      </w:pPr>
      <w:r>
        <w:rPr>
          <w:b/>
          <w:bCs/>
        </w:rPr>
        <w:t xml:space="preserve">C10 — Prohibición de corrección en sitio. </w:t>
      </w:r>
      <w:r>
        <w:t xml:space="preserve">Ningún documento, dato o script congelado se corrige en sitio. Toda modificación posterior exige nuevo número de versión, nuevo SHA-256 y nueva acta o enmienda explícita.</w:t>
      </w:r>
    </w:p>
    <w:p>
      <w:pPr>
        <w:spacing w:after="120"/>
      </w:pPr>
      <w:r>
        <w:rPr>
          <w:b/>
          <w:bCs/>
        </w:rPr>
        <w:t xml:space="preserve">C11-c — Predicción prerregistrada. </w:t>
      </w:r>
      <w:r>
        <w:t xml:space="preserve">La predicción de la § 3.6 del prerregistro queda registrada como parte del congelamiento. No es vinculante y su incumplimiento no altera el veredicto de escenario, pero el informe de resultados debe contrastarla explícitamente, acierte o falle.</w:t>
      </w:r>
    </w:p>
    <w:p>
      <w:pPr>
        <w:pStyle w:val="Heading1"/>
        <w:spacing w:after="140" w:before="280"/>
      </w:pPr>
      <w:r>
        <w:t xml:space="preserve">4. Registro de SHA-256</w:t>
      </w:r>
    </w:p>
    <w:p>
      <w:pPr>
        <w:spacing w:after="120"/>
      </w:pPr>
      <w:r>
        <w:t xml:space="preserve">Cada hash debe recalcularse sobre la copia que efectivamente reside en MyDrive/mtps_c/ antes de firmar. Un archivo reenviado o reexportado no conserva su hash.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550"/>
      </w:tblGrid>
      <w:tr>
        <w:tc>
          <w:tcPr>
            <w:tcW w:type="dxa" w:w="3450"/>
            <w:shd w:fill="E8E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Artefacto</w:t>
            </w:r>
          </w:p>
        </w:tc>
        <w:tc>
          <w:tcPr>
            <w:tcW w:type="dxa" w:w="5550"/>
            <w:shd w:fill="E8E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SHA-256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Hoja de Ruta v7.7-c, Borrador 5 (prerregistro)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56949b19b1c9572e2cd8a56181b3ac72c909642c6d8feb9dd1b601526735ee66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Informe de Resultados v7.7-b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cf0c5f6ffd549a5e07a35a9465fe03f364075c23779e61f37f3f4e72918677e0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Acta de Cierre Formal v7.7-b (v2)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89d112134e31b1c921c8f416a5457fe63e10c9fb60ca95a131886dd2b30931fb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Acta de Congelamiento 01 (v7.7-b)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6f35a27f20768fcb95e298b6c1e03038c0b1764c44990aa2a0e7836a7f3f2859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Enmienda 01 al Acta 01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68c93188209837a7eb12ba5907ecacdcf541fc30037faab638cdbeda9a1ae805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Nota Técnica NT-01 rev. 4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24a31b4167ba878b120a8d186f6443b88e60fa3b78afa3de9fbcbb1f04823e4f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LIT-00 v1.0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197d295f096d98a3414f2b17697cbd64d14886512ec3f8b89a00748435aebe66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mtps_c_v7_7b_common.py (base del diff, C6)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9485b073ed7281f02f4662c686b62426db4cc60fdd4842b198a671dff610bc30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mtps_c_v7_7b_table_long.csv (referencia de G14)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8b44452dad914df9197d8e5a502037b6f86aab4d8b2aa9c27d33e39b9afcbab3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mtps_c_v7_7b_table_cells.csv (base del diagnóstico § 1.1)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62a5b7a2e70389d5c4c183d532772970745510f8d871698cc971c69c7ac8c477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mtps_c_v7_7a_configs.json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afd73dfbf7ac6b481e054f44e510611d1db327160c1b125d24f29b6597fda8fc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Dataset canónico de 60 configs (G15, C4)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b2b0937a069d0170d9379ae08919067b9fff3e5ffc967a9f580425a80efedf47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mtps_c_v7_7c_common.py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pendiente — condición C7-c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Runner v7.7-c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pendiente — condición C7-c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Consolidador v7.7-c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pendiente — condición C7-c</w:t>
            </w:r>
          </w:p>
        </w:tc>
      </w:tr>
      <w:tr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Artefacto de diff contra la base de C6</w:t>
            </w:r>
          </w:p>
        </w:tc>
        <w:tc>
          <w:tcPr>
            <w:tcW w:type="dxa" w:w="5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</w:rPr>
              <w:t xml:space="preserve">pendiente — condición C7-c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Se hace constar que la base del diff de esta etapa es el módulo común de v7.7-b y no el de v7.7-a. La cadena de derivación queda por tanto encadenada: el módulo de v7.7-b deriva del de v7.7-a con el alcance declarado en el Acta 01 y su Enmienda 01, y el de v7.7-c deriva del de v7.7-b con el alcance declarado en la C6 de esta acta.</w:t>
      </w:r>
    </w:p>
    <w:p>
      <w:pPr>
        <w:pStyle w:val="Heading1"/>
        <w:spacing w:after="140" w:before="280"/>
      </w:pPr>
      <w:r>
        <w:t xml:space="preserve">5. Riesgo declarado de presupuesto</w:t>
      </w:r>
    </w:p>
    <w:p>
      <w:pPr>
        <w:spacing w:after="120"/>
      </w:pPr>
      <w:r>
        <w:t xml:space="preserve">El presupuesto de la § 6 del prerregistro estima 22,7 h con rango de 17 a 28, escalando linealmente con el horizonte sobre el tiempo medido del stage M = 40 de v7.7-b. Esa linealidad es una hipótesis razonable pero no verificada: en sistemas caóticos, el paso adaptativo del integrador puede encarecerse en regímenes tardíos.</w:t>
      </w:r>
    </w:p>
    <w:p>
      <w:pPr>
        <w:spacing w:after="120"/>
      </w:pPr>
      <w:r>
        <w:t xml:space="preserve">Conforme al prerregistro, si el brazo H = 2 excediera en más de un cincuenta por ciento su estimación, corresponde recalcular el presupuesto de H = 4 antes de lanzarlo. Esa recalculación no constituye enmienda y no requiere nueva versión del prerregistro ni de esta acta.</w:t>
      </w:r>
    </w:p>
    <w:p>
      <w:pPr>
        <w:pStyle w:val="Heading1"/>
        <w:spacing w:after="140" w:before="280"/>
      </w:pPr>
      <w:r>
        <w:t xml:space="preserve">6. Autorización</w:t>
      </w:r>
    </w:p>
    <w:p>
      <w:pPr>
        <w:spacing w:after="120"/>
      </w:pPr>
      <w:r>
        <w:t xml:space="preserve">Con la firma de esta acta queda congelado el prerregistro y aprobadas D1–D5. La corrida NO queda autorizada: la autorización requiere el cumplimiento de C7-c —existencia y registro de los cuatro artefactos de código con sus SHA-256—, que se incorporará como anexo firmado de esta misma acta.</w:t>
      </w:r>
    </w:p>
    <w:p>
      <w:pPr>
        <w:spacing w:after="120"/>
      </w:pPr>
      <w:r>
        <w:t xml:space="preserve">Rige para esta etapa la regla de escalamiento acordada en el Acta 01: si apareciera una observación nueva antes de la corrida, se evalúa una sola vez, y solo se abre una versión del prerregistro si se trata de una puerta que puede abortar la corrida o de un criterio vinculante; cualquier otra observación se resuelve en esta acta o en el código.</w:t>
      </w:r>
    </w:p>
    <w:p>
      <w:pPr>
        <w:spacing w:after="120"/>
      </w:pPr>
      <w:r>
        <w:t xml:space="preserve">El hash de esta acta se calcula tras su guardado definitivo y se registra por separado, dado que un documento no puede contener su propio hash.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Congelamiento 02 — MTPS-C v7.7-c</dc:title>
  <dc:creator>Programa MTPS-C</dc:creator>
  <cp:lastModifiedBy>Un-named</cp:lastModifiedBy>
  <cp:revision>1</cp:revision>
  <dcterms:created xsi:type="dcterms:W3CDTF">2026-09-13T23:36:15.390Z</dcterms:created>
  <dcterms:modified xsi:type="dcterms:W3CDTF">2026-09-13T23:36:15.403Z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