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Acta de Cierre Formal — MTPS-C v7.7-b</w:t>
      </w:r>
    </w:p>
    <w:p>
      <w:pPr>
        <w:spacing w:after="160"/>
        <w:jc w:val="center"/>
      </w:pPr>
      <w:r>
        <w:rPr>
          <w:i/>
          <w:iCs/>
          <w:sz w:val="23"/>
          <w:szCs w:val="23"/>
        </w:rPr>
        <w:t xml:space="preserve">Sensibilidad del Conjunto de Calibración — Barrido de M</w:t>
      </w:r>
    </w:p>
    <w:p>
      <w:pPr>
        <w:spacing w:after="160"/>
        <w:jc w:val="center"/>
      </w:pPr>
      <w:r>
        <w:rPr>
          <w:b/>
          <w:bCs/>
          <w:sz w:val="20"/>
          <w:szCs w:val="20"/>
        </w:rPr>
        <w:t xml:space="preserve">EXPERIMENTO CERRADO — ESCENARIO S11.1</w:t>
      </w:r>
    </w:p>
    <w:p>
      <w:pPr>
        <w:spacing w:after="60"/>
        <w:jc w:val="center"/>
      </w:pPr>
      <w:r>
        <w:rPr>
          <w:b/>
          <w:bCs/>
          <w:sz w:val="21"/>
          <w:szCs w:val="21"/>
        </w:rPr>
        <w:t xml:space="preserve">Joaquín Peñafiel</w:t>
      </w:r>
    </w:p>
    <w:p>
      <w:pPr>
        <w:spacing w:after="200"/>
        <w:jc w:val="center"/>
      </w:pPr>
      <w:r>
        <w:rPr>
          <w:sz w:val="20"/>
          <w:szCs w:val="20"/>
        </w:rPr>
        <w:t xml:space="preserve">Chile · 12 de septiembre de 2026</w:t>
      </w:r>
    </w:p>
    <w:p>
      <w:pPr>
        <w:pBdr>
          <w:bottom w:val="single" w:color="AAAAAA" w:sz="6"/>
        </w:pBdr>
        <w:spacing w:after="160"/>
      </w:pPr>
    </w:p>
    <w:p>
      <w:pPr>
        <w:pStyle w:val="Heading1"/>
        <w:spacing w:after="140" w:before="280"/>
      </w:pPr>
      <w:r>
        <w:t xml:space="preserve">1. Objeto</w:t>
      </w:r>
    </w:p>
    <w:p>
      <w:pPr>
        <w:spacing w:after="120"/>
      </w:pPr>
      <w:r>
        <w:t xml:space="preserve">Esta acta cierra formalmente el experimento MTPS-C v7.7-b. Registra el veredicto mecánico emitido por el consolidador, ancla por SHA-256 el informe de resultados y el paquete de evidencia, y deja asentado el traspaso a v7.7-c conforme a la regla de consecuencia prerregistrada.</w:t>
      </w:r>
    </w:p>
    <w:p>
      <w:pPr>
        <w:spacing w:after="120"/>
      </w:pPr>
      <w:r>
        <w:t xml:space="preserve">No modifica el prerregistro ni ninguno de los documentos previos. Conforme a la condición C10 del Acta de Congelamiento 01, ningún documento congelado se corrige en sitio: esta acta se agrega a la cadena documental y se registra con hash propio.</w:t>
      </w:r>
    </w:p>
    <w:p>
      <w:pPr>
        <w:pStyle w:val="Heading1"/>
        <w:spacing w:after="140" w:before="280"/>
      </w:pPr>
      <w:r>
        <w:t xml:space="preserve">2. Veredicto</w:t>
      </w:r>
    </w:p>
    <w:p>
      <w:pPr>
        <w:spacing w:after="120"/>
      </w:pPr>
      <w:r>
        <w:rPr>
          <w:b/>
          <w:bCs/>
        </w:rPr>
        <w:t xml:space="preserve">Escenario S11.1 — GRILLA HABILITADA. </w:t>
      </w:r>
      <w:r>
        <w:t xml:space="preserve">El veredicto fue emitido por la función de clasificación mecánica del consolidador, sobre criterios booleanos fijados antes de ver los datos, y consta en el artefacto veredicto_prerregistrado_v7_7b.json.</w:t>
      </w:r>
    </w:p>
    <w:p>
      <w:pPr>
        <w:spacing w:after="120"/>
      </w:pPr>
      <w:r>
        <w:t xml:space="preserve">Las tres puertas de verificación pasaron y los seis criterios se cumplieron en cada valor de M dentro de su alcance prerregistrado. El criterio C11.a no se cumple en M = 25 y no debía cumplirse: en ese valor los niveles nominales 0,90 y 0,95 colapsan al mismo umbral por construcción, razón por la cual su alcance quedó declarado únicamente para M = 40 y M = 50.</w:t>
      </w:r>
    </w:p>
    <w:p>
      <w:pPr>
        <w:spacing w:after="16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1500"/>
        <w:gridCol w:w="1500"/>
        <w:gridCol w:w="1500"/>
      </w:tblGrid>
      <w:tr>
        <w:tc>
          <w:tcPr>
            <w:tcW w:type="dxa" w:w="1200"/>
            <w:shd w:fill="E8E8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</w:t>
            </w:r>
          </w:p>
        </w:tc>
        <w:tc>
          <w:tcPr>
            <w:tcW w:type="dxa" w:w="1500"/>
            <w:shd w:fill="E8E8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C11.a</w:t>
            </w:r>
          </w:p>
        </w:tc>
        <w:tc>
          <w:tcPr>
            <w:tcW w:type="dxa" w:w="1500"/>
            <w:shd w:fill="E8E8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C11.b</w:t>
            </w:r>
          </w:p>
        </w:tc>
        <w:tc>
          <w:tcPr>
            <w:tcW w:type="dxa" w:w="1500"/>
            <w:shd w:fill="E8E8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C11.c</w:t>
            </w:r>
          </w:p>
        </w:tc>
        <w:tc>
          <w:tcPr>
            <w:tcW w:type="dxa" w:w="1500"/>
            <w:shd w:fill="E8E8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C11.f(i)</w:t>
            </w:r>
          </w:p>
        </w:tc>
        <w:tc>
          <w:tcPr>
            <w:tcW w:type="dxa" w:w="1500"/>
            <w:shd w:fill="E8E8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C11.f(ii)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Resultado central: la hipótesis registrada en la § 5.3 de la NT-01 queda confirmada. El colapso de los niveles 0,90 y 0,95 dependía del tamaño del conjunto de calibración por configuración y no del tamaño del ensemble. Con n_calib = piso(M/2) los niveles se separan y la grilla completa de cinco niveles queda habilitada para el programa.</w:t>
      </w:r>
    </w:p>
    <w:p>
      <w:pPr>
        <w:pStyle w:val="Heading1"/>
        <w:spacing w:after="140" w:before="280"/>
      </w:pPr>
      <w:r>
        <w:t xml:space="preserve">3. Anclaje del cierre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550"/>
      </w:tblGrid>
      <w:tr>
        <w:tc>
          <w:tcPr>
            <w:tcW w:type="dxa" w:w="3450"/>
            <w:shd w:fill="E8E8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Artefacto</w:t>
            </w:r>
          </w:p>
        </w:tc>
        <w:tc>
          <w:tcPr>
            <w:tcW w:type="dxa" w:w="5550"/>
            <w:shd w:fill="E8E8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SHA-256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Informe de Resultados v7.7-b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cf0c5f6ffd549a5e07a35a9465fe03f364075c23779e61f37f3f4e72918677e0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Acta de Congelamiento 01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6f35a27f20768fcb95e298b6c1e03038c0b1764c44990aa2a0e7836a7f3f2859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Enmienda 01 al Acta 01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68c93188209837a7eb12ba5907ecacdcf541fc30037faab638cdbeda9a1ae805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Hoja de Ruta v7.7-b Borrador 8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b25a08a68b7017ba0040f0f96b5d66f790b27db7f2fa6bf84ad9aab2f69cf635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Nota Técnica NT-01 rev. 4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24a31b4167ba878b120a8d186f6443b88e60fa3b78afa3de9fbcbb1f04823e4f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mtps_c_v7_7b_common.py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9485b073ed7281f02f4662c686b62426db4cc60fdd4842b198a671dff610bc30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mtps_c_v7_7b_runner.py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4a7f12515db031a448aa115230b3f31c23ab0e5bea2ee9afcfd37e766d2f17a1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mtps_c_v7_7b_consolidate.py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90b4c33b66c88fe926c4ef01b411c69a3ebaf511a1aca616c8b0532e8d3124ed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diff_v77a_to_v77b_common.txt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fe5df849c76e05971645726136d7f136f508783ada6c2a92b216966bac1bb027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Dataset canónico (puerta G13)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b2b0937a069d0170d9379ae08919067b9fff3e5ffc967a9f580425a80efedf47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El Anexo C7 al Acta 01 registró los cuatro artefactos de código antes de autorizar la corrida; sus hashes se reproducen aquí sin cambio, lo que hace verificable que el código ejecutado fue el autorizado.</w:t>
      </w:r>
    </w:p>
    <w:p>
      <w:pPr>
        <w:spacing w:after="120"/>
      </w:pPr>
      <w:r>
        <w:t xml:space="preserve">Salidas de la corrida, en MyDrive/mtps_c/. Estas son las piezas que permiten verificar el cierre experimental, de modo que se anclan con el mismo criterio que el resto del paquete y no solo se enumeran: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550"/>
      </w:tblGrid>
      <w:tr>
        <w:tc>
          <w:tcPr>
            <w:tcW w:type="dxa" w:w="3450"/>
            <w:shd w:fill="E8E8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Salida de la corrida</w:t>
            </w:r>
          </w:p>
        </w:tc>
        <w:tc>
          <w:tcPr>
            <w:tcW w:type="dxa" w:w="5550"/>
            <w:shd w:fill="E8E8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SHA-256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partial_b_m25.pkl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f1322dfdc8666ee94b5f86b633197e30405003b9492083f0c1afd5d2ab3cf466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partial_b_m40.pkl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b84c882d956885fb5db6853b681e1e25d98737f094e069a3f056e1c469c981b7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partial_b_m50.pkl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33088dee93547c1c3b0ee4b94ebcbf0c5bfc3b70fcd54fae1b90856eef6e27e5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mtps_c_v7_7b_metrics.txt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bfe399f813a5a809293c5fb55e163ebb0cb99afd0994d7e5ded475d2ab340168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mtps_c_v7_7b_table_long.csv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8b44452dad914df9197d8e5a502037b6f86aab4d8b2aa9c27d33e39b9afcbab3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mtps_c_v7_7b_table_cells.csv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62a5b7a2e70389d5c4c183d532772970745510f8d871698cc971c69c7ac8c477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mtps_c_v7_7b_trend.csv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0f403d010efa65f0d88b0638a2721b7b6a808c581b66608e7be11a38749c7039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mtps_c_v7_7b_proxy_tau.csv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ee72e124483c5095558493444c1a2a2aa2e2cc44a4be8b9c47565249cdc7f5b8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veredicto_prerregistrado_v7_7b.json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ccac3e79af6d9431bb6c9337362cbe902e81170e6e3fc1ac0d355b1b4a825757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tiempos_por_config_v7_7b.csv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a6cb6812ab628ee66402644fe60a02d7dad54276fbc2cb6416206b89a5499afd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Los tres partial incluyen su bloque de procedencia conforme a la condición C9. Con estos diez valores, el paquete queda anclado de extremo a extremo: prerregistro, actas, artefactos de código, dataset, salidas de la corrida e informe.</w:t>
      </w:r>
    </w:p>
    <w:p>
      <w:pPr>
        <w:pStyle w:val="Heading1"/>
        <w:spacing w:after="140" w:before="280"/>
      </w:pPr>
      <w:r>
        <w:t xml:space="preserve">4. Constancias de reproducibilidad</w:t>
      </w:r>
    </w:p>
    <w:p>
      <w:pPr>
        <w:spacing w:after="120"/>
      </w:pPr>
      <w:r>
        <w:t xml:space="preserve">Dos resultados de las puertas merecen quedar asentados en el acta, por encima del hecho de haber pasado.</w:t>
      </w:r>
    </w:p>
    <w:p>
      <w:pPr>
        <w:spacing w:after="120"/>
      </w:pPr>
      <w:r>
        <w:rPr>
          <w:b/>
          <w:bCs/>
        </w:rPr>
        <w:t xml:space="preserve">La puerta G11 arrojó diferencia exactamente cero. </w:t>
      </w:r>
      <w:r>
        <w:t xml:space="preserve">La comparación por configuración y por celda del brazo M = 25 contra el stage 1 de v7.7-a dio max_dif = 0,000e+00 sobre 15.000 celdas del brazo principal y 3.000 del de control, con tolerancia declarada de 1e-12. No es concordancia dentro de tolerancia sino igualdad bit a bit: la enmienda de método es retrocompatible en sentido estricto.</w:t>
      </w:r>
    </w:p>
    <w:p>
      <w:pPr>
        <w:spacing w:after="120"/>
      </w:pPr>
      <w:r>
        <w:rPr>
          <w:b/>
          <w:bCs/>
        </w:rPr>
        <w:t xml:space="preserve">La puerta G13 reprodujo el hash canónico del dataset en otro entorno y un mes después. </w:t>
      </w:r>
      <w:r>
        <w:t xml:space="preserve">El hash se calculó en agosto de 2026 y la corrida se ejecutó en septiembre sobre Python 3.13.15, numpy 2.1.3 y Linux 6.6.122. La coincidencia demuestra que la generación determinista del dataset es portable entre versiones y sesiones, que es la condición que hace comparables los tres brazos.</w:t>
      </w:r>
    </w:p>
    <w:p>
      <w:pPr>
        <w:spacing w:after="120"/>
      </w:pPr>
      <w:r>
        <w:t xml:space="preserve">El experimento consumió 23,87 horas de cómputo efectivo, dentro del rango de 14 a 24 horas declarado en la § 6 del prerregistro. Ninguna configuración falló su integración en ninguno de los cinco pares (brazo, M).</w:t>
      </w:r>
    </w:p>
    <w:p>
      <w:pPr>
        <w:pStyle w:val="Heading1"/>
        <w:spacing w:after="140" w:before="280"/>
      </w:pPr>
      <w:r>
        <w:t xml:space="preserve">5. Límites declarados del cierre</w:t>
      </w:r>
    </w:p>
    <w:p>
      <w:pPr>
        <w:spacing w:after="120"/>
      </w:pPr>
      <w:r>
        <w:t xml:space="preserve">El cierre no afirma más de lo que la evidencia sostiene. Los límites quedan registrados en la § 9 del informe y se reiteran aquí por su pertinencia para el uso externo del resultado: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El experimento reutiliza el dataset y las semillas de v7.7-a. Es un experimento de sensibilidad prerregistrado, no una validación independiente sobre datos nuevos.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La banda vinculante de C11.b equivale a unas 3,7 veces el error estándar del agregado, de modo que solo habría disparado ante un error grosero. Los desvíos observados van de −1,01σ a +1,18σ: la evidencia sostiene que las coberturas caen donde la aritmética conformal predice, no que el criterio haya sido puesto a prueba.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La mitad vinculante de C11.f(i) volvió a no morder, en línea con los ciclos anteriores. El guardián efectivo de la agudeza en este ciclo fue C11.f(ii).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La separación de umbrales en M = 40 y M = 50 es aritmética por construcción. El contenido empírico está en dónde caen las coberturas realizadas y en si la agudeza se sostiene.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El horizonte temporal útil permanece sin caracterizar. Es el objeto de v7.7-c.</w:t>
      </w:r>
    </w:p>
    <w:p>
      <w:pPr>
        <w:pStyle w:val="Heading1"/>
        <w:spacing w:after="140" w:before="280"/>
      </w:pPr>
      <w:r>
        <w:t xml:space="preserve">6. Traspaso a v7.7-c</w:t>
      </w:r>
    </w:p>
    <w:p>
      <w:pPr>
        <w:spacing w:after="120"/>
      </w:pPr>
      <w:r>
        <w:t xml:space="preserve">Conforme a la regla de consecuencia prerregistrada en la § 4 del Borrador 8, v7.7-c hereda M = 40.</w:t>
      </w:r>
    </w:p>
    <w:p>
      <w:pPr>
        <w:spacing w:after="120"/>
      </w:pPr>
      <w:r>
        <w:t xml:space="preserve">La fundamentación quedó declarada antes de ver los datos: M = 40 alcanza el nivel nominal 0,95 con el menor desvío esperado y con menor costo adicional. Se reitera la constancia registrada en la enmienda E2 de la Nota de Auditoría NA-01 —documento que existe y está anclado en la § 4 del Acta de Congelamiento 01 con hash eaa7570ab8c6ba8c93fa341f3c4b20d483b453e6ecd02eb4b3aa1ff0887b6991, y cuya adopción consta además en la § 7.1 del Borrador 8—: M = 50 presenta menor desvío estructural agregado sobre los cinco niveles y gana en los tres niveles bajos, de modo que la elección de M = 40 es una priorización declarada del nivel alto y del costo, no una dominancia sobre toda la grilla.</w:t>
      </w:r>
    </w:p>
    <w:p>
      <w:pPr>
        <w:spacing w:after="120"/>
      </w:pPr>
      <w:r>
        <w:t xml:space="preserve">Elementos que v7.7-c hereda con base empírica nueva: los cocientes de agudeza medidos aquí permiten calibrar directamente el umbral de C11.f(ii) sin extrapolar desde un salto de índice distinto; el modelo de costo (N + M)/75 quedó validado dentro de su rango declarado; y la concentración del 84,8 % del tiempo de cómputo en la familia encuentro_violento debe considerarse al presupuestar cualquier barrido que la incluya.</w:t>
      </w:r>
    </w:p>
    <w:p>
      <w:pPr>
        <w:pStyle w:val="Heading1"/>
        <w:spacing w:after="140" w:before="280"/>
      </w:pPr>
      <w:r>
        <w:t xml:space="preserve">7. Estado</w:t>
      </w:r>
    </w:p>
    <w:p>
      <w:pPr>
        <w:spacing w:after="120"/>
      </w:pPr>
      <w:r>
        <w:t xml:space="preserve">MTPS-C v7.7-b queda cerrado. El prerregistro, el acta de congelamiento, su enmienda, el anexo de autorización, los artefactos de código, las salidas de la corrida y el informe de resultados constituyen el paquete completo, anclado por hash y verificable de extremo a extremo.</w:t>
      </w:r>
    </w:p>
    <w:p>
      <w:pPr>
        <w:spacing w:after="120"/>
      </w:pPr>
      <w:r>
        <w:t xml:space="preserve">Subsiste la condición C10: cualquier modificación posterior de los artefactos registrados en la § 3 exige nuevo número de versión, nuevo SHA-256 y reemisión del documento correspondiente.</w:t>
      </w:r>
    </w:p>
    <w:p>
      <w:pPr>
        <w:spacing w:after="120"/>
      </w:pPr>
      <w:r>
        <w:t xml:space="preserve">El hash de esta acta se calcula tras su guardado definitivo y se registra por separado, dado que un documento no puede contener su propio hash.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Cierre Formal MTPS-C v7.7-b</dc:title>
  <dc:creator>Programa MTPS-C</dc:creator>
  <cp:lastModifiedBy>Un-named</cp:lastModifiedBy>
  <cp:revision>1</cp:revision>
  <dcterms:created xsi:type="dcterms:W3CDTF">2026-09-13T20:31:23.956Z</dcterms:created>
  <dcterms:modified xsi:type="dcterms:W3CDTF">2026-09-13T20:31:23.970Z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