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1"/>
          <w:szCs w:val="31"/>
        </w:rPr>
        <w:t xml:space="preserve">Acta de Cierre Formal — MTPS-C v7.7-c</w:t>
      </w:r>
    </w:p>
    <w:p>
      <w:pPr>
        <w:spacing w:after="160"/>
        <w:jc w:val="center"/>
      </w:pPr>
      <w:r>
        <w:rPr>
          <w:i/>
          <w:iCs/>
          <w:sz w:val="23"/>
          <w:szCs w:val="23"/>
        </w:rPr>
        <w:t xml:space="preserve">Horizonte útil, y cierre del ciclo v7.7 de caracterización</w:t>
      </w:r>
    </w:p>
    <w:p>
      <w:pPr>
        <w:spacing w:after="160"/>
        <w:jc w:val="center"/>
      </w:pPr>
      <w:r>
        <w:rPr>
          <w:b/>
          <w:bCs/>
          <w:sz w:val="20"/>
          <w:szCs w:val="20"/>
        </w:rPr>
        <w:t xml:space="preserve">EXPERIMENTO CERRADO — ESCENARIO S12.1</w:t>
      </w:r>
    </w:p>
    <w:p>
      <w:pPr>
        <w:spacing w:after="60"/>
        <w:jc w:val="center"/>
      </w:pPr>
      <w:r>
        <w:rPr>
          <w:b/>
          <w:bCs/>
          <w:sz w:val="21"/>
          <w:szCs w:val="21"/>
        </w:rPr>
        <w:t xml:space="preserve">Joaquín Peñafiel</w:t>
      </w:r>
    </w:p>
    <w:p>
      <w:pPr>
        <w:spacing w:after="200"/>
        <w:jc w:val="center"/>
      </w:pPr>
      <w:r>
        <w:rPr>
          <w:sz w:val="20"/>
          <w:szCs w:val="20"/>
        </w:rPr>
        <w:t xml:space="preserve">Chile · 22 de septiembre de 2026</w:t>
      </w:r>
    </w:p>
    <w:p>
      <w:pPr>
        <w:pBdr>
          <w:bottom w:val="single" w:color="AAAAAA" w:sz="6"/>
        </w:pBdr>
        <w:spacing w:after="160"/>
      </w:pPr>
    </w:p>
    <w:p>
      <w:pPr>
        <w:pStyle w:val="Heading1"/>
        <w:spacing w:after="140" w:before="280"/>
      </w:pPr>
      <w:r>
        <w:t xml:space="preserve">1. Objeto</w:t>
      </w:r>
    </w:p>
    <w:p>
      <w:pPr>
        <w:spacing w:after="120"/>
      </w:pPr>
      <w:r>
        <w:t xml:space="preserve">Esta acta cierra formalmente el experimento MTPS-C v7.7-c y, con él, el ciclo v7.7 de caracterización del instrumento. Registra el veredicto mecánico, ancla por SHA-256 el informe de resultados y el paquete de evidencia, y deja asentado el estado en que el programa queda para sus etapas siguientes.</w:t>
      </w:r>
    </w:p>
    <w:p>
      <w:pPr>
        <w:spacing w:after="120"/>
      </w:pPr>
      <w:r>
        <w:t xml:space="preserve">No modifica el prerregistro ni ninguno de los documentos previos. Conforme a la condición C10 del Acta de Congelamiento 02, ningún documento congelado se corrige en sitio: esta acta se agrega a la cadena documental y se registra con hash propio.</w:t>
      </w:r>
    </w:p>
    <w:p>
      <w:pPr>
        <w:pStyle w:val="Heading1"/>
        <w:spacing w:after="140" w:before="280"/>
      </w:pPr>
      <w:r>
        <w:t xml:space="preserve">2. Veredicto</w:t>
      </w:r>
    </w:p>
    <w:p>
      <w:pPr>
        <w:spacing w:after="120"/>
      </w:pPr>
      <w:r>
        <w:rPr>
          <w:b/>
          <w:bCs/>
        </w:rPr>
        <w:t xml:space="preserve">Escenario S12.1 — FRONTERA CARACTERIZADA. </w:t>
      </w:r>
      <w:r>
        <w:t xml:space="preserve">El veredicto fue emitido por la función de clasificación mecánica del consolidador, sobre criterios booleanos fijados antes de ver los datos, y consta en el artefacto veredicto_prerregistrado_v7_7c.json.</w:t>
      </w:r>
    </w:p>
    <w:p>
      <w:pPr>
        <w:spacing w:after="120"/>
      </w:pPr>
      <w:r>
        <w:t xml:space="preserve">Las cuatro puertas —G14, G15, G16 y G17— pasaron. El criterio estructural C12.a se cumple en los veinte snapshots del punto de control intermedio y se incumple en el brazo operativo a partir del snapshot 26, con incumplimiento sostenido desde el 30. El criterio de calibración C12.c se cumple en los cuatro bloques de diez snapshots, en ambos brazos.</w:t>
      </w:r>
    </w:p>
    <w:p>
      <w:pPr>
        <w:spacing w:after="160"/>
      </w:pPr>
    </w:p>
    <w:tbl>
      <w:tblPr>
        <w:tblW w:type="dxa" w:w="6650"/>
        <w:tblBorders>
          <w:top w:val="single" w:color="auto" w:sz="4"/>
          <w:left w:val="single" w:color="auto" w:sz="4"/>
          <w:bottom w:val="single" w:color="auto" w:sz="4"/>
          <w:right w:val="single" w:color="auto" w:sz="4"/>
          <w:insideH w:val="single" w:color="auto" w:sz="4"/>
          <w:insideV w:val="single" w:color="auto" w:sz="4"/>
        </w:tblBorders>
      </w:tblPr>
      <w:tblGrid>
        <w:gridCol w:w="1400"/>
        <w:gridCol w:w="1750"/>
        <w:gridCol w:w="1750"/>
        <w:gridCol w:w="1750"/>
      </w:tblGrid>
      <w:tr>
        <w:tc>
          <w:tcPr>
            <w:tcW w:type="dxa" w:w="1400"/>
            <w:shd w:fill="E8E8E8" w:val="clear"/>
            <w:tcMar>
              <w:top w:type="dxa" w:w="48"/>
              <w:left w:type="dxa" w:w="88"/>
              <w:bottom w:type="dxa" w:w="48"/>
              <w:right w:type="dxa" w:w="88"/>
            </w:tcMar>
          </w:tcPr>
          <w:p>
            <w:pPr>
              <w:jc w:val="center"/>
            </w:pPr>
            <w:r>
              <w:rPr>
                <w:b/>
                <w:bCs/>
                <w:sz w:val="17"/>
                <w:szCs w:val="17"/>
              </w:rPr>
              <w:t xml:space="preserve">Brazo</w:t>
            </w:r>
          </w:p>
        </w:tc>
        <w:tc>
          <w:tcPr>
            <w:tcW w:type="dxa" w:w="1750"/>
            <w:shd w:fill="E8E8E8" w:val="clear"/>
            <w:tcMar>
              <w:top w:type="dxa" w:w="48"/>
              <w:left w:type="dxa" w:w="88"/>
              <w:bottom w:type="dxa" w:w="48"/>
              <w:right w:type="dxa" w:w="88"/>
            </w:tcMar>
          </w:tcPr>
          <w:p>
            <w:pPr>
              <w:jc w:val="center"/>
            </w:pPr>
            <w:r>
              <w:rPr>
                <w:b/>
                <w:bCs/>
                <w:sz w:val="17"/>
                <w:szCs w:val="17"/>
              </w:rPr>
              <w:t xml:space="preserve">C12.a</w:t>
            </w:r>
          </w:p>
        </w:tc>
        <w:tc>
          <w:tcPr>
            <w:tcW w:type="dxa" w:w="1750"/>
            <w:shd w:fill="E8E8E8" w:val="clear"/>
            <w:tcMar>
              <w:top w:type="dxa" w:w="48"/>
              <w:left w:type="dxa" w:w="88"/>
              <w:bottom w:type="dxa" w:w="48"/>
              <w:right w:type="dxa" w:w="88"/>
            </w:tcMar>
          </w:tcPr>
          <w:p>
            <w:pPr>
              <w:jc w:val="center"/>
            </w:pPr>
            <w:r>
              <w:rPr>
                <w:b/>
                <w:bCs/>
                <w:sz w:val="17"/>
                <w:szCs w:val="17"/>
              </w:rPr>
              <w:t xml:space="preserve">C12.c</w:t>
            </w:r>
          </w:p>
        </w:tc>
        <w:tc>
          <w:tcPr>
            <w:tcW w:type="dxa" w:w="1750"/>
            <w:shd w:fill="E8E8E8" w:val="clear"/>
            <w:tcMar>
              <w:top w:type="dxa" w:w="48"/>
              <w:left w:type="dxa" w:w="88"/>
              <w:bottom w:type="dxa" w:w="48"/>
              <w:right w:type="dxa" w:w="88"/>
            </w:tcMar>
          </w:tcPr>
          <w:p>
            <w:pPr>
              <w:jc w:val="center"/>
            </w:pPr>
            <w:r>
              <w:rPr>
                <w:b/>
                <w:bCs/>
                <w:sz w:val="17"/>
                <w:szCs w:val="17"/>
              </w:rPr>
              <w:t xml:space="preserve">Primer incumplimiento</w:t>
            </w:r>
          </w:p>
        </w:tc>
      </w:tr>
      <w:tr>
        <w:tc>
          <w:tcPr>
            <w:tcW w:type="dxa" w:w="1400"/>
            <w:tcMar>
              <w:top w:type="dxa" w:w="48"/>
              <w:left w:type="dxa" w:w="88"/>
              <w:bottom w:type="dxa" w:w="48"/>
              <w:right w:type="dxa" w:w="88"/>
            </w:tcMar>
          </w:tcPr>
          <w:p>
            <w:pPr>
              <w:jc w:val="left"/>
            </w:pPr>
            <w:r>
              <w:rPr>
                <w:b w:val="false"/>
                <w:bCs w:val="false"/>
                <w:sz w:val="17"/>
                <w:szCs w:val="17"/>
              </w:rPr>
              <w:t xml:space="preserve">H = 2 (20 snapshots)</w:t>
            </w:r>
          </w:p>
        </w:tc>
        <w:tc>
          <w:tcPr>
            <w:tcW w:type="dxa" w:w="1750"/>
            <w:tcMar>
              <w:top w:type="dxa" w:w="48"/>
              <w:left w:type="dxa" w:w="88"/>
              <w:bottom w:type="dxa" w:w="48"/>
              <w:right w:type="dxa" w:w="88"/>
            </w:tcMar>
          </w:tcPr>
          <w:p>
            <w:pPr>
              <w:jc w:val="left"/>
            </w:pPr>
            <w:r>
              <w:rPr>
                <w:b w:val="false"/>
                <w:bCs w:val="false"/>
                <w:sz w:val="17"/>
                <w:szCs w:val="17"/>
              </w:rPr>
              <w:t xml:space="preserve">se cumple</w:t>
            </w:r>
          </w:p>
        </w:tc>
        <w:tc>
          <w:tcPr>
            <w:tcW w:type="dxa" w:w="1750"/>
            <w:tcMar>
              <w:top w:type="dxa" w:w="48"/>
              <w:left w:type="dxa" w:w="88"/>
              <w:bottom w:type="dxa" w:w="48"/>
              <w:right w:type="dxa" w:w="88"/>
            </w:tcMar>
          </w:tcPr>
          <w:p>
            <w:pPr>
              <w:jc w:val="left"/>
            </w:pPr>
            <w:r>
              <w:rPr>
                <w:b w:val="false"/>
                <w:bCs w:val="false"/>
                <w:sz w:val="17"/>
                <w:szCs w:val="17"/>
              </w:rPr>
              <w:t xml:space="preserve">se cumple</w:t>
            </w:r>
          </w:p>
        </w:tc>
        <w:tc>
          <w:tcPr>
            <w:tcW w:type="dxa" w:w="1750"/>
            <w:tcMar>
              <w:top w:type="dxa" w:w="48"/>
              <w:left w:type="dxa" w:w="88"/>
              <w:bottom w:type="dxa" w:w="48"/>
              <w:right w:type="dxa" w:w="88"/>
            </w:tcMar>
          </w:tcPr>
          <w:p>
            <w:pPr>
              <w:jc w:val="left"/>
            </w:pPr>
            <w:r>
              <w:rPr>
                <w:b w:val="false"/>
                <w:bCs w:val="false"/>
                <w:sz w:val="17"/>
                <w:szCs w:val="17"/>
              </w:rPr>
              <w:t xml:space="preserve">—</w:t>
            </w:r>
          </w:p>
        </w:tc>
      </w:tr>
      <w:tr>
        <w:tc>
          <w:tcPr>
            <w:tcW w:type="dxa" w:w="1400"/>
            <w:tcMar>
              <w:top w:type="dxa" w:w="48"/>
              <w:left w:type="dxa" w:w="88"/>
              <w:bottom w:type="dxa" w:w="48"/>
              <w:right w:type="dxa" w:w="88"/>
            </w:tcMar>
          </w:tcPr>
          <w:p>
            <w:pPr>
              <w:jc w:val="left"/>
            </w:pPr>
            <w:r>
              <w:rPr>
                <w:b w:val="false"/>
                <w:bCs w:val="false"/>
                <w:sz w:val="17"/>
                <w:szCs w:val="17"/>
              </w:rPr>
              <w:t xml:space="preserve">H = 4 (40 snapshots)</w:t>
            </w:r>
          </w:p>
        </w:tc>
        <w:tc>
          <w:tcPr>
            <w:tcW w:type="dxa" w:w="1750"/>
            <w:tcMar>
              <w:top w:type="dxa" w:w="48"/>
              <w:left w:type="dxa" w:w="88"/>
              <w:bottom w:type="dxa" w:w="48"/>
              <w:right w:type="dxa" w:w="88"/>
            </w:tcMar>
          </w:tcPr>
          <w:p>
            <w:pPr>
              <w:jc w:val="left"/>
            </w:pPr>
            <w:r>
              <w:rPr>
                <w:b w:val="false"/>
                <w:bCs w:val="false"/>
                <w:sz w:val="17"/>
                <w:szCs w:val="17"/>
              </w:rPr>
              <w:t xml:space="preserve">incumple</w:t>
            </w:r>
          </w:p>
        </w:tc>
        <w:tc>
          <w:tcPr>
            <w:tcW w:type="dxa" w:w="1750"/>
            <w:tcMar>
              <w:top w:type="dxa" w:w="48"/>
              <w:left w:type="dxa" w:w="88"/>
              <w:bottom w:type="dxa" w:w="48"/>
              <w:right w:type="dxa" w:w="88"/>
            </w:tcMar>
          </w:tcPr>
          <w:p>
            <w:pPr>
              <w:jc w:val="left"/>
            </w:pPr>
            <w:r>
              <w:rPr>
                <w:b w:val="false"/>
                <w:bCs w:val="false"/>
                <w:sz w:val="17"/>
                <w:szCs w:val="17"/>
              </w:rPr>
              <w:t xml:space="preserve">se cumple</w:t>
            </w:r>
          </w:p>
        </w:tc>
        <w:tc>
          <w:tcPr>
            <w:tcW w:type="dxa" w:w="1750"/>
            <w:tcMar>
              <w:top w:type="dxa" w:w="48"/>
              <w:left w:type="dxa" w:w="88"/>
              <w:bottom w:type="dxa" w:w="48"/>
              <w:right w:type="dxa" w:w="88"/>
            </w:tcMar>
          </w:tcPr>
          <w:p>
            <w:pPr>
              <w:jc w:val="left"/>
            </w:pPr>
            <w:r>
              <w:rPr>
                <w:b w:val="false"/>
                <w:bCs w:val="false"/>
                <w:sz w:val="17"/>
                <w:szCs w:val="17"/>
              </w:rPr>
              <w:t xml:space="preserve">snapshot 26</w:t>
            </w:r>
          </w:p>
        </w:tc>
      </w:tr>
    </w:tbl>
    <w:p>
      <w:pPr>
        <w:spacing w:after="160"/>
      </w:pPr>
    </w:p>
    <w:p>
      <w:pPr>
        <w:spacing w:after="120"/>
      </w:pPr>
      <w:r>
        <w:rPr>
          <w:b/>
          <w:bCs/>
        </w:rPr>
        <w:t xml:space="preserve">Alcance de lo que el veredicto afirma. </w:t>
      </w:r>
      <w:r>
        <w:t xml:space="preserve">El incumplimiento de C12.a acota el régimen de compresibilidad bidimensional del ensemble, que es donde el instrumento resulta más informativo. No declara la invalidez del método, que puede seguir operando con más componentes. El límite caracterizado es de informatividad geométrica y no de validez conformal: la cobertura se mantiene dentro de tolerancia en los cinco niveles hasta el final del rango explorado.</w:t>
      </w:r>
    </w:p>
    <w:p>
      <w:pPr>
        <w:spacing w:after="120"/>
      </w:pPr>
      <w:r>
        <w:rPr>
          <w:b/>
          <w:bCs/>
        </w:rPr>
        <w:t xml:space="preserve">Constancia sobre la forma de la frontera. </w:t>
      </w:r>
      <w:r>
        <w:t xml:space="preserve">La degradación es gradual y no monótona: el primer cruce ocurre en el snapshot 26, el 29 vuelve por encima del umbral y desde el 30 el incumplimiento es sostenido. Describirla como un punto de quiebre limpio sería inexacto y el informe no lo hace.</w:t>
      </w:r>
    </w:p>
    <w:p>
      <w:pPr>
        <w:spacing w:after="120"/>
      </w:pPr>
      <w:r>
        <w:rPr>
          <w:b/>
          <w:bCs/>
        </w:rPr>
        <w:t xml:space="preserve">Constancia sobre la predicción prerregistrada. </w:t>
      </w:r>
      <w:r>
        <w:t xml:space="preserve">La predicción de la § 3.6 del prerregistro falló por exceso en su punto más lejano: predecía una dimensión efectiva de 7,35 a cuarenta snapshots y la corrida arrojó 3,20. Su condición estaba declarada —suponía tasa de crecimiento constante— y su incumplimiento no altera el veredicto, conforme al prerregistro. La condición C11-c del Acta 02 exigía contrastarla acierte o falle, y el informe la contrasta en su § 7.</w:t>
      </w:r>
    </w:p>
    <w:p>
      <w:pPr>
        <w:pStyle w:val="Heading1"/>
        <w:spacing w:after="140" w:before="280"/>
      </w:pPr>
      <w:r>
        <w:t xml:space="preserve">3. Anclaje del cierre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50"/>
        <w:gridCol w:w="5450"/>
      </w:tblGrid>
      <w:tr>
        <w:tc>
          <w:tcPr>
            <w:tcW w:type="dxa" w:w="3550"/>
            <w:shd w:fill="E8E8E8" w:val="clear"/>
            <w:tcMar>
              <w:top w:type="dxa" w:w="48"/>
              <w:left w:type="dxa" w:w="88"/>
              <w:bottom w:type="dxa" w:w="48"/>
              <w:right w:type="dxa" w:w="88"/>
            </w:tcMar>
          </w:tcPr>
          <w:p>
            <w:pPr>
              <w:jc w:val="center"/>
            </w:pPr>
            <w:r>
              <w:rPr>
                <w:b/>
                <w:bCs/>
                <w:sz w:val="17"/>
                <w:szCs w:val="17"/>
              </w:rPr>
              <w:t xml:space="preserve">Documento</w:t>
            </w:r>
          </w:p>
        </w:tc>
        <w:tc>
          <w:tcPr>
            <w:tcW w:type="dxa" w:w="5450"/>
            <w:shd w:fill="E8E8E8" w:val="clear"/>
            <w:tcMar>
              <w:top w:type="dxa" w:w="48"/>
              <w:left w:type="dxa" w:w="88"/>
              <w:bottom w:type="dxa" w:w="48"/>
              <w:right w:type="dxa" w:w="88"/>
            </w:tcMar>
          </w:tcPr>
          <w:p>
            <w:pPr>
              <w:jc w:val="center"/>
            </w:pPr>
            <w:r>
              <w:rPr>
                <w:b/>
                <w:bCs/>
                <w:sz w:val="17"/>
                <w:szCs w:val="17"/>
              </w:rPr>
              <w:t xml:space="preserve">SHA-256</w:t>
            </w:r>
          </w:p>
        </w:tc>
      </w:tr>
      <w:tr>
        <w:tc>
          <w:tcPr>
            <w:tcW w:type="dxa" w:w="3550"/>
            <w:tcMar>
              <w:top w:type="dxa" w:w="48"/>
              <w:left w:type="dxa" w:w="88"/>
              <w:bottom w:type="dxa" w:w="48"/>
              <w:right w:type="dxa" w:w="88"/>
            </w:tcMar>
          </w:tcPr>
          <w:p>
            <w:pPr>
              <w:jc w:val="left"/>
            </w:pPr>
            <w:r>
              <w:rPr>
                <w:b w:val="false"/>
                <w:bCs w:val="false"/>
                <w:sz w:val="17"/>
                <w:szCs w:val="17"/>
              </w:rPr>
              <w:t xml:space="preserve">Informe de Resultados v7.7-c</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47e4e1bea4e35bc6eddbb91f752190e110a0492dbeddf49ebd5f42ea77186d8b</w:t>
            </w:r>
          </w:p>
        </w:tc>
      </w:tr>
      <w:tr>
        <w:tc>
          <w:tcPr>
            <w:tcW w:type="dxa" w:w="3550"/>
            <w:tcMar>
              <w:top w:type="dxa" w:w="48"/>
              <w:left w:type="dxa" w:w="88"/>
              <w:bottom w:type="dxa" w:w="48"/>
              <w:right w:type="dxa" w:w="88"/>
            </w:tcMar>
          </w:tcPr>
          <w:p>
            <w:pPr>
              <w:jc w:val="left"/>
            </w:pPr>
            <w:r>
              <w:rPr>
                <w:b w:val="false"/>
                <w:bCs w:val="false"/>
                <w:sz w:val="17"/>
                <w:szCs w:val="17"/>
              </w:rPr>
              <w:t xml:space="preserve">Hoja de Ruta v7.7-c, Borrador 5</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56949b19b1c9572e2cd8a56181b3ac72c909642c6d8feb9dd1b601526735ee66</w:t>
            </w:r>
          </w:p>
        </w:tc>
      </w:tr>
      <w:tr>
        <w:tc>
          <w:tcPr>
            <w:tcW w:type="dxa" w:w="3550"/>
            <w:tcMar>
              <w:top w:type="dxa" w:w="48"/>
              <w:left w:type="dxa" w:w="88"/>
              <w:bottom w:type="dxa" w:w="48"/>
              <w:right w:type="dxa" w:w="88"/>
            </w:tcMar>
          </w:tcPr>
          <w:p>
            <w:pPr>
              <w:jc w:val="left"/>
            </w:pPr>
            <w:r>
              <w:rPr>
                <w:b w:val="false"/>
                <w:bCs w:val="false"/>
                <w:sz w:val="17"/>
                <w:szCs w:val="17"/>
              </w:rPr>
              <w:t xml:space="preserve">Acta de Congelamiento 02</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00411e57f7492aa7736dd3b7d40f9bf45eebbeb0089b4e1060a7563fd84bae54</w:t>
            </w:r>
          </w:p>
        </w:tc>
      </w:tr>
      <w:tr>
        <w:tc>
          <w:tcPr>
            <w:tcW w:type="dxa" w:w="3550"/>
            <w:tcMar>
              <w:top w:type="dxa" w:w="48"/>
              <w:left w:type="dxa" w:w="88"/>
              <w:bottom w:type="dxa" w:w="48"/>
              <w:right w:type="dxa" w:w="88"/>
            </w:tcMar>
          </w:tcPr>
          <w:p>
            <w:pPr>
              <w:jc w:val="left"/>
            </w:pPr>
            <w:r>
              <w:rPr>
                <w:b w:val="false"/>
                <w:bCs w:val="false"/>
                <w:sz w:val="17"/>
                <w:szCs w:val="17"/>
              </w:rPr>
              <w:t xml:space="preserve">Enmienda 02 al Acta 02</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cabb62991049e17eba6a97316ff0930d134d13c54f9d5bedf57e85e764df968a</w:t>
            </w:r>
          </w:p>
        </w:tc>
      </w:tr>
      <w:tr>
        <w:tc>
          <w:tcPr>
            <w:tcW w:type="dxa" w:w="3550"/>
            <w:tcMar>
              <w:top w:type="dxa" w:w="48"/>
              <w:left w:type="dxa" w:w="88"/>
              <w:bottom w:type="dxa" w:w="48"/>
              <w:right w:type="dxa" w:w="88"/>
            </w:tcMar>
          </w:tcPr>
          <w:p>
            <w:pPr>
              <w:jc w:val="left"/>
            </w:pPr>
            <w:r>
              <w:rPr>
                <w:b w:val="false"/>
                <w:bCs w:val="false"/>
                <w:sz w:val="17"/>
                <w:szCs w:val="17"/>
              </w:rPr>
              <w:t xml:space="preserve">Enmienda 03 al Acta 02</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ca32bf54d6069afdb83d49e26a53ddabafdc059d04e0f4f9cbd4b0cec6451b78</w:t>
            </w:r>
          </w:p>
        </w:tc>
      </w:tr>
      <w:tr>
        <w:tc>
          <w:tcPr>
            <w:tcW w:type="dxa" w:w="3550"/>
            <w:tcMar>
              <w:top w:type="dxa" w:w="48"/>
              <w:left w:type="dxa" w:w="88"/>
              <w:bottom w:type="dxa" w:w="48"/>
              <w:right w:type="dxa" w:w="88"/>
            </w:tcMar>
          </w:tcPr>
          <w:p>
            <w:pPr>
              <w:jc w:val="left"/>
            </w:pPr>
            <w:r>
              <w:rPr>
                <w:b w:val="false"/>
                <w:bCs w:val="false"/>
                <w:sz w:val="17"/>
                <w:szCs w:val="17"/>
              </w:rPr>
              <w:t xml:space="preserve">Anexo C7-c, reemisión 3</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9f5e21b275f2239ea8d4a5bbc991c4350d97490bfda6b77f1d78cfc38f75e11f</w:t>
            </w:r>
          </w:p>
        </w:tc>
      </w:tr>
      <w:tr>
        <w:tc>
          <w:tcPr>
            <w:tcW w:type="dxa" w:w="3550"/>
            <w:tcMar>
              <w:top w:type="dxa" w:w="48"/>
              <w:left w:type="dxa" w:w="88"/>
              <w:bottom w:type="dxa" w:w="48"/>
              <w:right w:type="dxa" w:w="88"/>
            </w:tcMar>
          </w:tcPr>
          <w:p>
            <w:pPr>
              <w:jc w:val="left"/>
            </w:pPr>
            <w:r>
              <w:rPr>
                <w:b w:val="false"/>
                <w:bCs w:val="false"/>
                <w:sz w:val="17"/>
                <w:szCs w:val="17"/>
              </w:rPr>
              <w:t xml:space="preserve">mtps_c_v7_7c_common.py</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a6c37a3b8931e87223d25103965ea8392adb61b14831cb1f95b4c00844f038d6</w:t>
            </w:r>
          </w:p>
        </w:tc>
      </w:tr>
      <w:tr>
        <w:tc>
          <w:tcPr>
            <w:tcW w:type="dxa" w:w="3550"/>
            <w:tcMar>
              <w:top w:type="dxa" w:w="48"/>
              <w:left w:type="dxa" w:w="88"/>
              <w:bottom w:type="dxa" w:w="48"/>
              <w:right w:type="dxa" w:w="88"/>
            </w:tcMar>
          </w:tcPr>
          <w:p>
            <w:pPr>
              <w:jc w:val="left"/>
            </w:pPr>
            <w:r>
              <w:rPr>
                <w:b w:val="false"/>
                <w:bCs w:val="false"/>
                <w:sz w:val="17"/>
                <w:szCs w:val="17"/>
              </w:rPr>
              <w:t xml:space="preserve">mtps_c_v7_7c_runner.py</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3f9d345e91d08f19fdf9638e6a3bbb5daa8234a25559e4f6d45a4a51a5b3b2d4</w:t>
            </w:r>
          </w:p>
        </w:tc>
      </w:tr>
      <w:tr>
        <w:tc>
          <w:tcPr>
            <w:tcW w:type="dxa" w:w="3550"/>
            <w:tcMar>
              <w:top w:type="dxa" w:w="48"/>
              <w:left w:type="dxa" w:w="88"/>
              <w:bottom w:type="dxa" w:w="48"/>
              <w:right w:type="dxa" w:w="88"/>
            </w:tcMar>
          </w:tcPr>
          <w:p>
            <w:pPr>
              <w:jc w:val="left"/>
            </w:pPr>
            <w:r>
              <w:rPr>
                <w:b w:val="false"/>
                <w:bCs w:val="false"/>
                <w:sz w:val="17"/>
                <w:szCs w:val="17"/>
              </w:rPr>
              <w:t xml:space="preserve">mtps_c_v7_7c_consolidate.py</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2b6bd013c048438713a2a483fc40c63bdebf892bf61ae30d39e02fae60ce0dfd</w:t>
            </w:r>
          </w:p>
        </w:tc>
      </w:tr>
      <w:tr>
        <w:tc>
          <w:tcPr>
            <w:tcW w:type="dxa" w:w="3550"/>
            <w:tcMar>
              <w:top w:type="dxa" w:w="48"/>
              <w:left w:type="dxa" w:w="88"/>
              <w:bottom w:type="dxa" w:w="48"/>
              <w:right w:type="dxa" w:w="88"/>
            </w:tcMar>
          </w:tcPr>
          <w:p>
            <w:pPr>
              <w:jc w:val="left"/>
            </w:pPr>
            <w:r>
              <w:rPr>
                <w:b w:val="false"/>
                <w:bCs w:val="false"/>
                <w:sz w:val="17"/>
                <w:szCs w:val="17"/>
              </w:rPr>
              <w:t xml:space="preserve">diff_v77b_to_v77c_common.txt</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2dbbf861cb72c8973da0dcb884982b13fa0f8efdfa52b52d56620a68ba94c251</w:t>
            </w:r>
          </w:p>
        </w:tc>
      </w:tr>
      <w:tr>
        <w:tc>
          <w:tcPr>
            <w:tcW w:type="dxa" w:w="3550"/>
            <w:tcMar>
              <w:top w:type="dxa" w:w="48"/>
              <w:left w:type="dxa" w:w="88"/>
              <w:bottom w:type="dxa" w:w="48"/>
              <w:right w:type="dxa" w:w="88"/>
            </w:tcMar>
          </w:tcPr>
          <w:p>
            <w:pPr>
              <w:jc w:val="left"/>
            </w:pPr>
            <w:r>
              <w:rPr>
                <w:b w:val="false"/>
                <w:bCs w:val="false"/>
                <w:sz w:val="17"/>
                <w:szCs w:val="17"/>
              </w:rPr>
              <w:t xml:space="preserve">Dataset canónico de 60 configs</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b2b0937a069d0170d9379ae08919067b9fff3e5ffc967a9f580425a80efedf47</w:t>
            </w:r>
          </w:p>
        </w:tc>
      </w:tr>
    </w:tbl>
    <w:p>
      <w:pPr>
        <w:spacing w:after="160"/>
      </w:pPr>
    </w:p>
    <w:p>
      <w:pPr>
        <w:spacing w:after="120"/>
      </w:pPr>
      <w:r>
        <w:t xml:space="preserve">Salidas de la corrida, en MyDrive/mtps_c/. Son las piezas que permiten verificar el cierre experimental, de modo que se anclan con el mismo criterio que el resto del paquete y no solo se enumeran: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50"/>
        <w:gridCol w:w="5450"/>
      </w:tblGrid>
      <w:tr>
        <w:tc>
          <w:tcPr>
            <w:tcW w:type="dxa" w:w="3550"/>
            <w:shd w:fill="E8E8E8" w:val="clear"/>
            <w:tcMar>
              <w:top w:type="dxa" w:w="48"/>
              <w:left w:type="dxa" w:w="88"/>
              <w:bottom w:type="dxa" w:w="48"/>
              <w:right w:type="dxa" w:w="88"/>
            </w:tcMar>
          </w:tcPr>
          <w:p>
            <w:pPr>
              <w:jc w:val="center"/>
            </w:pPr>
            <w:r>
              <w:rPr>
                <w:b/>
                <w:bCs/>
                <w:sz w:val="17"/>
                <w:szCs w:val="17"/>
              </w:rPr>
              <w:t xml:space="preserve">Salida de la corrida</w:t>
            </w:r>
          </w:p>
        </w:tc>
        <w:tc>
          <w:tcPr>
            <w:tcW w:type="dxa" w:w="5450"/>
            <w:shd w:fill="E8E8E8" w:val="clear"/>
            <w:tcMar>
              <w:top w:type="dxa" w:w="48"/>
              <w:left w:type="dxa" w:w="88"/>
              <w:bottom w:type="dxa" w:w="48"/>
              <w:right w:type="dxa" w:w="88"/>
            </w:tcMar>
          </w:tcPr>
          <w:p>
            <w:pPr>
              <w:jc w:val="center"/>
            </w:pPr>
            <w:r>
              <w:rPr>
                <w:b/>
                <w:bCs/>
                <w:sz w:val="17"/>
                <w:szCs w:val="17"/>
              </w:rPr>
              <w:t xml:space="preserve">SHA-256</w:t>
            </w:r>
          </w:p>
        </w:tc>
      </w:tr>
      <w:tr>
        <w:tc>
          <w:tcPr>
            <w:tcW w:type="dxa" w:w="3550"/>
            <w:tcMar>
              <w:top w:type="dxa" w:w="48"/>
              <w:left w:type="dxa" w:w="88"/>
              <w:bottom w:type="dxa" w:w="48"/>
              <w:right w:type="dxa" w:w="88"/>
            </w:tcMar>
          </w:tcPr>
          <w:p>
            <w:pPr>
              <w:jc w:val="left"/>
            </w:pPr>
            <w:r>
              <w:rPr>
                <w:b w:val="false"/>
                <w:bCs w:val="false"/>
                <w:sz w:val="17"/>
                <w:szCs w:val="17"/>
              </w:rPr>
              <w:t xml:space="preserve">partial_c_h2.pkl</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a7ac7624df017abba0d9898e00ca6c8d559e18b145ad0c4cbb3b0b77aea215e8</w:t>
            </w:r>
          </w:p>
        </w:tc>
      </w:tr>
      <w:tr>
        <w:tc>
          <w:tcPr>
            <w:tcW w:type="dxa" w:w="3550"/>
            <w:tcMar>
              <w:top w:type="dxa" w:w="48"/>
              <w:left w:type="dxa" w:w="88"/>
              <w:bottom w:type="dxa" w:w="48"/>
              <w:right w:type="dxa" w:w="88"/>
            </w:tcMar>
          </w:tcPr>
          <w:p>
            <w:pPr>
              <w:jc w:val="left"/>
            </w:pPr>
            <w:r>
              <w:rPr>
                <w:b w:val="false"/>
                <w:bCs w:val="false"/>
                <w:sz w:val="17"/>
                <w:szCs w:val="17"/>
              </w:rPr>
              <w:t xml:space="preserve">partial_c_h4.pkl</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c2ffe034b480293f1802eacfbbb142a3005502f772035c25d2f936089b4a73d2</w:t>
            </w:r>
          </w:p>
        </w:tc>
      </w:tr>
      <w:tr>
        <w:tc>
          <w:tcPr>
            <w:tcW w:type="dxa" w:w="3550"/>
            <w:tcMar>
              <w:top w:type="dxa" w:w="48"/>
              <w:left w:type="dxa" w:w="88"/>
              <w:bottom w:type="dxa" w:w="48"/>
              <w:right w:type="dxa" w:w="88"/>
            </w:tcMar>
          </w:tcPr>
          <w:p>
            <w:pPr>
              <w:jc w:val="left"/>
            </w:pPr>
            <w:r>
              <w:rPr>
                <w:b w:val="false"/>
                <w:bCs w:val="false"/>
                <w:sz w:val="17"/>
                <w:szCs w:val="17"/>
              </w:rPr>
              <w:t xml:space="preserve">mtps_c_v7_7c_metrics.txt</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dd0436f0cd34e795346bc8bd54d44ac7fb08cec8d3708cd0962a183c0d787410</w:t>
            </w:r>
          </w:p>
        </w:tc>
      </w:tr>
      <w:tr>
        <w:tc>
          <w:tcPr>
            <w:tcW w:type="dxa" w:w="3550"/>
            <w:tcMar>
              <w:top w:type="dxa" w:w="48"/>
              <w:left w:type="dxa" w:w="88"/>
              <w:bottom w:type="dxa" w:w="48"/>
              <w:right w:type="dxa" w:w="88"/>
            </w:tcMar>
          </w:tcPr>
          <w:p>
            <w:pPr>
              <w:jc w:val="left"/>
            </w:pPr>
            <w:r>
              <w:rPr>
                <w:b w:val="false"/>
                <w:bCs w:val="false"/>
                <w:sz w:val="17"/>
                <w:szCs w:val="17"/>
              </w:rPr>
              <w:t xml:space="preserve">mtps_c_v7_7c_table_long.csv</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b1ee9c38c51aec918317c06df99d3d054ad89bef8e24f1e3e391939362e622f5</w:t>
            </w:r>
          </w:p>
        </w:tc>
      </w:tr>
      <w:tr>
        <w:tc>
          <w:tcPr>
            <w:tcW w:type="dxa" w:w="3550"/>
            <w:tcMar>
              <w:top w:type="dxa" w:w="48"/>
              <w:left w:type="dxa" w:w="88"/>
              <w:bottom w:type="dxa" w:w="48"/>
              <w:right w:type="dxa" w:w="88"/>
            </w:tcMar>
          </w:tcPr>
          <w:p>
            <w:pPr>
              <w:jc w:val="left"/>
            </w:pPr>
            <w:r>
              <w:rPr>
                <w:b w:val="false"/>
                <w:bCs w:val="false"/>
                <w:sz w:val="17"/>
                <w:szCs w:val="17"/>
              </w:rPr>
              <w:t xml:space="preserve">mtps_c_v7_7c_table_cells.csv</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41beddd1c981d29f97a66833ef5f7dd89cfc7b2048d580b026491aee29ad0710</w:t>
            </w:r>
          </w:p>
        </w:tc>
      </w:tr>
      <w:tr>
        <w:tc>
          <w:tcPr>
            <w:tcW w:type="dxa" w:w="3550"/>
            <w:tcMar>
              <w:top w:type="dxa" w:w="48"/>
              <w:left w:type="dxa" w:w="88"/>
              <w:bottom w:type="dxa" w:w="48"/>
              <w:right w:type="dxa" w:w="88"/>
            </w:tcMar>
          </w:tcPr>
          <w:p>
            <w:pPr>
              <w:jc w:val="left"/>
            </w:pPr>
            <w:r>
              <w:rPr>
                <w:b w:val="false"/>
                <w:bCs w:val="false"/>
                <w:sz w:val="17"/>
                <w:szCs w:val="17"/>
              </w:rPr>
              <w:t xml:space="preserve">mtps_c_v7_7c_horizonte.csv</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26fd9eb8152c457cb6ad60415dda60432596704e3c5ec9d39c0e687e8ba7b523</w:t>
            </w:r>
          </w:p>
        </w:tc>
      </w:tr>
      <w:tr>
        <w:tc>
          <w:tcPr>
            <w:tcW w:type="dxa" w:w="3550"/>
            <w:tcMar>
              <w:top w:type="dxa" w:w="48"/>
              <w:left w:type="dxa" w:w="88"/>
              <w:bottom w:type="dxa" w:w="48"/>
              <w:right w:type="dxa" w:w="88"/>
            </w:tcMar>
          </w:tcPr>
          <w:p>
            <w:pPr>
              <w:jc w:val="left"/>
            </w:pPr>
            <w:r>
              <w:rPr>
                <w:b w:val="false"/>
                <w:bCs w:val="false"/>
                <w:sz w:val="17"/>
                <w:szCs w:val="17"/>
              </w:rPr>
              <w:t xml:space="preserve">mtps_c_v7_7c_prediccion.json</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6416940a0feda6fa7848650c00efd6913d7021a4ff32748b2066f44cece83ae8</w:t>
            </w:r>
          </w:p>
        </w:tc>
      </w:tr>
      <w:tr>
        <w:tc>
          <w:tcPr>
            <w:tcW w:type="dxa" w:w="3550"/>
            <w:tcMar>
              <w:top w:type="dxa" w:w="48"/>
              <w:left w:type="dxa" w:w="88"/>
              <w:bottom w:type="dxa" w:w="48"/>
              <w:right w:type="dxa" w:w="88"/>
            </w:tcMar>
          </w:tcPr>
          <w:p>
            <w:pPr>
              <w:jc w:val="left"/>
            </w:pPr>
            <w:r>
              <w:rPr>
                <w:b w:val="false"/>
                <w:bCs w:val="false"/>
                <w:sz w:val="17"/>
                <w:szCs w:val="17"/>
              </w:rPr>
              <w:t xml:space="preserve">veredicto_prerregistrado_v7_7c.json</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62eeaae919ffcabe81dfbfc8e75be77b7876f9951019a45b42cb1bcfaf343901</w:t>
            </w:r>
          </w:p>
        </w:tc>
      </w:tr>
      <w:tr>
        <w:tc>
          <w:tcPr>
            <w:tcW w:type="dxa" w:w="3550"/>
            <w:tcMar>
              <w:top w:type="dxa" w:w="48"/>
              <w:left w:type="dxa" w:w="88"/>
              <w:bottom w:type="dxa" w:w="48"/>
              <w:right w:type="dxa" w:w="88"/>
            </w:tcMar>
          </w:tcPr>
          <w:p>
            <w:pPr>
              <w:jc w:val="left"/>
            </w:pPr>
            <w:r>
              <w:rPr>
                <w:b w:val="false"/>
                <w:bCs w:val="false"/>
                <w:sz w:val="17"/>
                <w:szCs w:val="17"/>
              </w:rPr>
              <w:t xml:space="preserve">tiempos_por_config_v7_7c.csv</w:t>
            </w:r>
          </w:p>
        </w:tc>
        <w:tc>
          <w:tcPr>
            <w:tcW w:type="dxa" w:w="5450"/>
            <w:tcMar>
              <w:top w:type="dxa" w:w="48"/>
              <w:left w:type="dxa" w:w="88"/>
              <w:bottom w:type="dxa" w:w="48"/>
              <w:right w:type="dxa" w:w="88"/>
            </w:tcMar>
          </w:tcPr>
          <w:p>
            <w:pPr>
              <w:jc w:val="left"/>
            </w:pPr>
            <w:r>
              <w:rPr>
                <w:rFonts w:ascii="Consolas" w:cs="Consolas" w:eastAsia="Consolas" w:hAnsi="Consolas"/>
                <w:b w:val="false"/>
                <w:bCs w:val="false"/>
                <w:sz w:val="14"/>
                <w:szCs w:val="14"/>
              </w:rPr>
              <w:t xml:space="preserve">34a32fb9762cd1345ed8c8600693e295e4af50215f7f0a6944cefabb202a7596</w:t>
            </w:r>
          </w:p>
        </w:tc>
      </w:tr>
    </w:tbl>
    <w:p>
      <w:pPr>
        <w:spacing w:after="160"/>
      </w:pPr>
    </w:p>
    <w:p>
      <w:pPr>
        <w:spacing w:after="120"/>
      </w:pPr>
      <w:r>
        <w:t xml:space="preserve">Los dos partial incluyen su bloque de procedencia conforme a la condición C9. Con estos nueve valores, el paquete de v7.7-c queda anclado de extremo a extremo: prerregistro, acta, enmiendas, anexo de autorización, artefactos de código, dataset, salidas de la corrida e informe.</w:t>
      </w:r>
    </w:p>
    <w:p>
      <w:pPr>
        <w:spacing w:after="120"/>
      </w:pPr>
      <w:r>
        <w:rPr>
          <w:b/>
          <w:bCs/>
        </w:rPr>
        <w:t xml:space="preserve">Procedencia de módulos. </w:t>
      </w:r>
      <w:r>
        <w:t xml:space="preserve">El brazo H = 2 se generó con el módulo previo a la Enmienda 02, 5539e083796e26e2254c4bea50cc4a0b45f9c6b0dc7d6b66c8f47da0c657885e, y el brazo H = 4 con el enmendado. La combinación está autorizada por esa enmienda, que modifica la función de comparación de las puertas y no el cómputo, y el consolidador la verifica de forma explícita en lugar de aceptarla por omisión.</w:t>
      </w:r>
    </w:p>
    <w:p>
      <w:pPr>
        <w:pStyle w:val="Heading1"/>
        <w:spacing w:after="140" w:before="280"/>
      </w:pPr>
      <w:r>
        <w:t xml:space="preserve">4. Constancias del ciclo</w:t>
      </w:r>
    </w:p>
    <w:p>
      <w:pPr>
        <w:spacing w:after="120"/>
      </w:pPr>
      <w:r>
        <w:rPr>
          <w:b/>
          <w:bCs/>
        </w:rPr>
        <w:t xml:space="preserve">Una puerta abortó la corrida y su aborto fue correcto. </w:t>
      </w:r>
      <w:r>
        <w:t xml:space="preserve">G14 detuvo el experimento al detectar que el brazo H = 2 no reproducía el horizonte de referencia dentro de la tolerancia heredada. La investigación estableció que la cobertura se reproducía de forma exacta, que solo difería el radio conformal, y que la tolerancia absoluta no era la apropiada para comparar integraciones de intervalos distintos. Un aborto de puerta resuelto por enmienda es parte del resultado de la etapa: es la evidencia de que la verificación funcionaba.</w:t>
      </w:r>
    </w:p>
    <w:p>
      <w:pPr>
        <w:spacing w:after="120"/>
      </w:pPr>
      <w:r>
        <w:rPr>
          <w:b/>
          <w:bCs/>
        </w:rPr>
        <w:t xml:space="preserve">La segunda enmienda fue operativa y no metodológica. </w:t>
      </w:r>
      <w:r>
        <w:t xml:space="preserve">La Enmienda 03 incorporó persistencia dentro de la configuración tras cinco días de intentos fallidos sobre una sola configuración. No modificó el módulo común ni el cómputo, y su equivalencia se verificó bit a bit sobre los tres estados posibles de la caché. Su efecto quedó medido en producción: tras una caída, la corrida recuperó sesenta integraciones en quince segundos.</w:t>
      </w:r>
    </w:p>
    <w:p>
      <w:pPr>
        <w:spacing w:after="120"/>
      </w:pPr>
      <w:r>
        <w:rPr>
          <w:b/>
          <w:bCs/>
        </w:rPr>
        <w:t xml:space="preserve">La auditoría cruzada detectó defectos en las tres etapas del ciclo. </w:t>
      </w:r>
      <w:r>
        <w:t xml:space="preserve">En v7.7-b, un clasificador que habría emitido un veredicto silencioso y equivocado. En v7.7-c, una verificación de completitud ausente en las puertas de regresión y una contradicción entre la Enmienda 02 y el consolidador, ambas introducidas por el redactor. La regla de alternancia —quien redacta no audita— produjo en cada caso un hallazgo que el redactor no había visto.</w:t>
      </w:r>
    </w:p>
    <w:p>
      <w:pPr>
        <w:pStyle w:val="Heading1"/>
        <w:spacing w:after="140" w:before="280"/>
      </w:pPr>
      <w:r>
        <w:t xml:space="preserve">5. Límites declarados del cierre</w:t>
      </w:r>
    </w:p>
    <w:p>
      <w:pPr>
        <w:pStyle w:val="ListParagraph"/>
        <w:numPr>
          <w:ilvl w:val="0"/>
          <w:numId w:val="1"/>
        </w:numPr>
        <w:spacing w:after="120"/>
      </w:pPr>
      <w:r>
        <w:t xml:space="preserve">Mismo dataset y mismas semillas que v7.7-a y v7.7-b. Es un experimento de horizonte prerregistrado, no una validación independiente sobre datos nuevos.</w:t>
      </w:r>
    </w:p>
    <w:p>
      <w:pPr>
        <w:pStyle w:val="ListParagraph"/>
        <w:numPr>
          <w:ilvl w:val="0"/>
          <w:numId w:val="1"/>
        </w:numPr>
        <w:spacing w:after="120"/>
      </w:pPr>
      <w:r>
        <w:t xml:space="preserve">Primera etapa del programa sin brazo de control, con las tres razones declaradas en el prerregistro. No puede descartarse que una frontera de cobertura fuera artefacto del brazo principal; ese riesgo no se materializó, porque la cobertura no se degradó, y el criterio primario no es de cobertura.</w:t>
      </w:r>
    </w:p>
    <w:p>
      <w:pPr>
        <w:pStyle w:val="ListParagraph"/>
        <w:numPr>
          <w:ilvl w:val="0"/>
          <w:numId w:val="1"/>
        </w:numPr>
        <w:spacing w:after="120"/>
      </w:pPr>
      <w:r>
        <w:t xml:space="preserve">El cómputo declarado, 25,25 horas, es una cota inferior: los intentos interrumpidos no dejan registro y las configuraciones completadas desde la caché contabilizan solo su tramo final.</w:t>
      </w:r>
    </w:p>
    <w:p>
      <w:pPr>
        <w:pStyle w:val="ListParagraph"/>
        <w:numPr>
          <w:ilvl w:val="0"/>
          <w:numId w:val="1"/>
        </w:numPr>
        <w:spacing w:after="120"/>
      </w:pPr>
      <w:r>
        <w:t xml:space="preserve">El umbral de utilidad absoluta del radio no se fija en esta etapa y queda para la aplicación que corresponda.</w:t>
      </w:r>
    </w:p>
    <w:p>
      <w:pPr>
        <w:pStyle w:val="ListParagraph"/>
        <w:numPr>
          <w:ilvl w:val="0"/>
          <w:numId w:val="1"/>
        </w:numPr>
        <w:spacing w:after="120"/>
      </w:pPr>
      <w:r>
        <w:t xml:space="preserve">La explicación de la inversión por subconjunto es una hipótesis. El hecho está medido; su causa no.</w:t>
      </w:r>
    </w:p>
    <w:p>
      <w:pPr>
        <w:pStyle w:val="ListParagraph"/>
        <w:numPr>
          <w:ilvl w:val="0"/>
          <w:numId w:val="1"/>
        </w:numPr>
        <w:spacing w:after="120"/>
      </w:pPr>
      <w:r>
        <w:t xml:space="preserve">La atribución de la anticipación del fenómeno a la literatura de predicción conformal equivariante, que figura en la § 1 del prerregistro, no consta entre las obras verificadas de la LIT-00 y debe contrastarse contra ella antes de cualquier uso publicado.</w:t>
      </w:r>
    </w:p>
    <w:p>
      <w:pPr>
        <w:pStyle w:val="Heading1"/>
        <w:spacing w:after="140" w:before="280"/>
      </w:pPr>
      <w:r>
        <w:t xml:space="preserve">6. Estado del programa</w:t>
      </w:r>
    </w:p>
    <w:p>
      <w:pPr>
        <w:spacing w:after="120"/>
      </w:pPr>
      <w:r>
        <w:t xml:space="preserve">Con esta etapa se completa la caracterización del instrumento en sus tres ejes: v7.7-a estableció la robustez de la calibración al tamaño del ensemble; v7.7-b habilitó la grilla completa de cinco niveles y fijó el tamaño del conjunto de calibración; v7.7-c acotó el eje temporal.</w:t>
      </w:r>
    </w:p>
    <w:p>
      <w:pPr>
        <w:spacing w:after="120"/>
      </w:pPr>
      <w:r>
        <w:rPr>
          <w:b/>
          <w:bCs/>
        </w:rPr>
        <w:t xml:space="preserve">El ciclo v7.7 queda cerrado sin una nueva etapa interna prevista. </w:t>
      </w:r>
      <w:r>
        <w:t xml:space="preserve">Las etapas futuras del programa pasan a ser aplicadas o de extensión de dominio, no de caracterización del instrumento. El cierre de este ciclo no cierra el programa.</w:t>
      </w:r>
    </w:p>
    <w:p>
      <w:pPr>
        <w:spacing w:after="120"/>
      </w:pPr>
      <w:r>
        <w:t xml:space="preserve">Elementos que cualquier etapa posterior hereda con base empírica:</w:t>
      </w:r>
    </w:p>
    <w:p>
      <w:pPr>
        <w:pStyle w:val="ListParagraph"/>
        <w:numPr>
          <w:ilvl w:val="0"/>
          <w:numId w:val="1"/>
        </w:numPr>
        <w:spacing w:after="120"/>
      </w:pPr>
      <w:r>
        <w:t xml:space="preserve">El régimen informativo se extiende hasta unas veinticinco veces el espaciado de referencia entre snapshots, con primer cruce en el 26 y pérdida sostenida desde el 30.</w:t>
      </w:r>
    </w:p>
    <w:p>
      <w:pPr>
        <w:pStyle w:val="ListParagraph"/>
        <w:numPr>
          <w:ilvl w:val="0"/>
          <w:numId w:val="1"/>
        </w:numPr>
        <w:spacing w:after="120"/>
      </w:pPr>
      <w:r>
        <w:t xml:space="preserve">La cobertura se mantiene válida más allá de esa frontera, de modo que un uso que solo requiera validez dispone de más margen del que la frontera estructural sugiere.</w:t>
      </w:r>
    </w:p>
    <w:p>
      <w:pPr>
        <w:pStyle w:val="ListParagraph"/>
        <w:numPr>
          <w:ilvl w:val="0"/>
          <w:numId w:val="1"/>
        </w:numPr>
        <w:spacing w:after="120"/>
      </w:pPr>
      <w:r>
        <w:t xml:space="preserve">El costo se concentra en la familia de encuentros violentos en proporción estable entre etapas, entre dos tercios y cuatro quintos del total.</w:t>
      </w:r>
    </w:p>
    <w:p>
      <w:pPr>
        <w:pStyle w:val="ListParagraph"/>
        <w:numPr>
          <w:ilvl w:val="0"/>
          <w:numId w:val="1"/>
        </w:numPr>
        <w:spacing w:after="120"/>
      </w:pPr>
      <w:r>
        <w:t xml:space="preserve">El checkpoint debe situarse en la unidad de trabajo independiente más pequeña y desde el diseño inicial. En configuraciones de varias horas no es una optimización sino la condición que determina si el experimento es ejecutable.</w:t>
      </w:r>
    </w:p>
    <w:p>
      <w:pPr>
        <w:pStyle w:val="ListParagraph"/>
        <w:numPr>
          <w:ilvl w:val="0"/>
          <w:numId w:val="1"/>
        </w:numPr>
        <w:spacing w:after="120"/>
      </w:pPr>
      <w:r>
        <w:t xml:space="preserve">La pérdida de compresibilidad se desacelera en lugar de acelerarse, de modo que una extrapolación geométrica sobreestima la degradación.</w:t>
      </w:r>
    </w:p>
    <w:p>
      <w:pPr>
        <w:pStyle w:val="Heading1"/>
        <w:spacing w:after="140" w:before="280"/>
      </w:pPr>
      <w:r>
        <w:t xml:space="preserve">7. Cierre</w:t>
      </w:r>
    </w:p>
    <w:p>
      <w:pPr>
        <w:spacing w:after="120"/>
      </w:pPr>
      <w:r>
        <w:t xml:space="preserve">MTPS-C v7.7-c queda cerrado. El prerregistro, el acta de congelamiento, sus dos enmiendas, el anexo de autorización en su reemisión vigente, los artefactos de código, las salidas de la corrida y el informe de resultados constituyen el paquete completo, anclado por hash y verificable de extremo a extremo.</w:t>
      </w:r>
    </w:p>
    <w:p>
      <w:pPr>
        <w:spacing w:after="120"/>
      </w:pPr>
      <w:r>
        <w:t xml:space="preserve">Subsiste la condición C10: cualquier modificación posterior de los artefactos registrados en la § 3 exige nuevo número de versión, nuevo SHA-256 y reemisión del documento correspondiente.</w:t>
      </w:r>
    </w:p>
    <w:p>
      <w:pPr>
        <w:spacing w:after="120"/>
      </w:pPr>
      <w:r>
        <w:t xml:space="preserve">El hash de esta acta se calcula tras su guardado definitivo y se registra por separado, dado que un documento no puede contener su propio hash.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Cierre Formal MTPS-C v7.7-c y del ciclo v7.7</dc:title>
  <dc:creator>Programa MTPS-C</dc:creator>
  <cp:lastModifiedBy>Un-named</cp:lastModifiedBy>
  <cp:revision>1</cp:revision>
  <dcterms:created xsi:type="dcterms:W3CDTF">2026-09-22T23:09:07.211Z</dcterms:created>
  <dcterms:modified xsi:type="dcterms:W3CDTF">2026-09-22T23:09:07.220Z</dcterms:modified>
</cp:coreProperties>
</file>

<file path=docProps/custom.xml><?xml version="1.0" encoding="utf-8"?>
<Properties xmlns="http://schemas.openxmlformats.org/officeDocument/2006/custom-properties" xmlns:vt="http://schemas.openxmlformats.org/officeDocument/2006/docPropsVTypes"/>
</file>