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Anexo C7 al Acta de Congelamiento 01</w:t>
      </w:r>
    </w:p>
    <w:p>
      <w:pPr>
        <w:spacing w:after="160"/>
        <w:jc w:val="center"/>
      </w:pPr>
      <w:r>
        <w:rPr>
          <w:i/>
          <w:iCs/>
          <w:sz w:val="23"/>
          <w:szCs w:val="23"/>
        </w:rPr>
        <w:t xml:space="preserve">MTPS-C v7.7-b — artefactos de código y autorización de corrida</w:t>
      </w:r>
    </w:p>
    <w:p>
      <w:pPr>
        <w:spacing w:after="160"/>
        <w:jc w:val="center"/>
      </w:pPr>
      <w:r>
        <w:rPr>
          <w:b/>
          <w:bCs/>
          <w:sz w:val="20"/>
          <w:szCs w:val="20"/>
        </w:rPr>
        <w:t xml:space="preserve">AUTORIZA LA CORRIDA DE v7.7-b</w:t>
      </w:r>
    </w:p>
    <w:p>
      <w:pPr>
        <w:spacing w:after="60"/>
        <w:jc w:val="center"/>
      </w:pPr>
      <w:r>
        <w:rPr>
          <w:b/>
          <w:bCs/>
          <w:sz w:val="21"/>
          <w:szCs w:val="21"/>
        </w:rPr>
        <w:t xml:space="preserve">Joaquín Peñafiel</w:t>
      </w:r>
    </w:p>
    <w:p>
      <w:pPr>
        <w:spacing w:after="200"/>
        <w:jc w:val="center"/>
      </w:pPr>
      <w:r>
        <w:rPr>
          <w:sz w:val="20"/>
          <w:szCs w:val="20"/>
        </w:rPr>
        <w:t xml:space="preserve">Chile · 11 de septiembre de 2026</w:t>
      </w:r>
    </w:p>
    <w:p>
      <w:pPr>
        <w:pBdr>
          <w:bottom w:val="single" w:color="AAAAAA" w:sz="6"/>
        </w:pBdr>
        <w:spacing w:after="160"/>
      </w:pPr>
    </w:p>
    <w:p>
      <w:pPr>
        <w:pStyle w:val="Heading1"/>
        <w:spacing w:after="140" w:before="280"/>
      </w:pPr>
      <w:r>
        <w:t xml:space="preserve">1. Objeto</w:t>
      </w:r>
    </w:p>
    <w:p>
      <w:pPr>
        <w:spacing w:after="120"/>
      </w:pPr>
      <w:r>
        <w:t xml:space="preserve">La condición C7 del Acta de Congelamiento 01 establece que, antes de autorizar la corrida de v7.7-b, deben existir y quedar registrados con su SHA-256 el módulo común, el runner, el consolidador y el artefacto de diff contra la base congelada. Al momento de firmarse el acta esos artefactos no existían, de modo que la autorización quedó diferida a este anexo.</w:t>
      </w:r>
    </w:p>
    <w:p>
      <w:pPr>
        <w:spacing w:after="120"/>
      </w:pPr>
      <w:r>
        <w:t xml:space="preserve">Este anexo registra los cuatro artefactos, verifica que el diff se mantenga dentro del alcance declarado en C6 con su Enmienda 01, deja constancia de la auditoría cruzada del código y, con ello, levanta la condición suspensiva: la corrida queda autorizada.</w:t>
      </w:r>
    </w:p>
    <w:p>
      <w:pPr>
        <w:spacing w:after="120"/>
      </w:pPr>
      <w:r>
        <w:t xml:space="preserve">El Acta de Congelamiento 01 y la Enmienda 01 no se modifican. Conforme a la condición C10, ningún documento congelado se corrige en sitio; este anexo se agrega a la cadena documental y se registra con hash propio.</w:t>
      </w:r>
    </w:p>
    <w:p>
      <w:pPr>
        <w:pStyle w:val="Heading1"/>
        <w:spacing w:after="140" w:before="280"/>
      </w:pPr>
      <w:r>
        <w:t xml:space="preserve">2. Documentos que este anexo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Documento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Hoja de Ruta v7.7-b, Borrador 8 (prerregistro)</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b25a08a68b7017ba0040f0f96b5d66f790b27db7f2fa6bf84ad9aab2f69cf635</w:t>
            </w:r>
          </w:p>
        </w:tc>
      </w:tr>
      <w:tr>
        <w:tc>
          <w:tcPr>
            <w:tcW w:type="dxa" w:w="3450"/>
            <w:tcMar>
              <w:top w:type="dxa" w:w="50"/>
              <w:left w:type="dxa" w:w="90"/>
              <w:bottom w:type="dxa" w:w="50"/>
              <w:right w:type="dxa" w:w="90"/>
            </w:tcMar>
          </w:tcPr>
          <w:p>
            <w:pPr>
              <w:jc w:val="left"/>
            </w:pPr>
            <w:r>
              <w:rPr>
                <w:b w:val="false"/>
                <w:bCs w:val="false"/>
                <w:sz w:val="17"/>
                <w:szCs w:val="17"/>
              </w:rPr>
              <w:t xml:space="preserve">Acta de Congelamiento 01</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6f35a27f20768fcb95e298b6c1e03038c0b1764c44990aa2a0e7836a7f3f2859</w:t>
            </w:r>
          </w:p>
        </w:tc>
      </w:tr>
      <w:tr>
        <w:tc>
          <w:tcPr>
            <w:tcW w:type="dxa" w:w="3450"/>
            <w:tcMar>
              <w:top w:type="dxa" w:w="50"/>
              <w:left w:type="dxa" w:w="90"/>
              <w:bottom w:type="dxa" w:w="50"/>
              <w:right w:type="dxa" w:w="90"/>
            </w:tcMar>
          </w:tcPr>
          <w:p>
            <w:pPr>
              <w:jc w:val="left"/>
            </w:pPr>
            <w:r>
              <w:rPr>
                <w:b w:val="false"/>
                <w:bCs w:val="false"/>
                <w:sz w:val="17"/>
                <w:szCs w:val="17"/>
              </w:rPr>
              <w:t xml:space="preserve">Enmienda 01 al Acta 01</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68c93188209837a7eb12ba5907ecacdcf541fc30037faab638cdbeda9a1ae805</w:t>
            </w:r>
          </w:p>
        </w:tc>
      </w:tr>
    </w:tbl>
    <w:p>
      <w:pPr>
        <w:spacing w:after="160"/>
      </w:pPr>
    </w:p>
    <w:p>
      <w:pPr>
        <w:pStyle w:val="Heading1"/>
        <w:spacing w:after="140" w:before="280"/>
      </w:pPr>
      <w:r>
        <w:t xml:space="preserve">3. Artefactos de código (condición C7)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Artefacto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mtps_c_v7_7b_common.py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9485b073ed7281f02f4662c686b62426db4cc60fdd4842b198a671dff610bc30</w:t>
            </w:r>
          </w:p>
        </w:tc>
      </w:tr>
      <w:tr>
        <w:tc>
          <w:tcPr>
            <w:tcW w:type="dxa" w:w="3450"/>
            <w:tcMar>
              <w:top w:type="dxa" w:w="50"/>
              <w:left w:type="dxa" w:w="90"/>
              <w:bottom w:type="dxa" w:w="50"/>
              <w:right w:type="dxa" w:w="90"/>
            </w:tcMar>
          </w:tcPr>
          <w:p>
            <w:pPr>
              <w:jc w:val="left"/>
            </w:pPr>
            <w:r>
              <w:rPr>
                <w:b w:val="false"/>
                <w:bCs w:val="false"/>
                <w:sz w:val="17"/>
                <w:szCs w:val="17"/>
              </w:rPr>
              <w:t xml:space="preserve">mtps_c_v7_7b_runner.py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4a7f12515db031a448aa115230b3f31c23ab0e5bea2ee9afcfd37e766d2f17a1</w:t>
            </w:r>
          </w:p>
        </w:tc>
      </w:tr>
      <w:tr>
        <w:tc>
          <w:tcPr>
            <w:tcW w:type="dxa" w:w="3450"/>
            <w:tcMar>
              <w:top w:type="dxa" w:w="50"/>
              <w:left w:type="dxa" w:w="90"/>
              <w:bottom w:type="dxa" w:w="50"/>
              <w:right w:type="dxa" w:w="90"/>
            </w:tcMar>
          </w:tcPr>
          <w:p>
            <w:pPr>
              <w:jc w:val="left"/>
            </w:pPr>
            <w:r>
              <w:rPr>
                <w:b w:val="false"/>
                <w:bCs w:val="false"/>
                <w:sz w:val="17"/>
                <w:szCs w:val="17"/>
              </w:rPr>
              <w:t xml:space="preserve">mtps_c_v7_7b_consolidate.py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90b4c33b66c88fe926c4ef01b411c69a3ebaf511a1aca616c8b0532e8d3124ed</w:t>
            </w:r>
          </w:p>
        </w:tc>
      </w:tr>
      <w:tr>
        <w:tc>
          <w:tcPr>
            <w:tcW w:type="dxa" w:w="3450"/>
            <w:tcMar>
              <w:top w:type="dxa" w:w="50"/>
              <w:left w:type="dxa" w:w="90"/>
              <w:bottom w:type="dxa" w:w="50"/>
              <w:right w:type="dxa" w:w="90"/>
            </w:tcMar>
          </w:tcPr>
          <w:p>
            <w:pPr>
              <w:jc w:val="left"/>
            </w:pPr>
            <w:r>
              <w:rPr>
                <w:b w:val="false"/>
                <w:bCs w:val="false"/>
                <w:sz w:val="17"/>
                <w:szCs w:val="17"/>
              </w:rPr>
              <w:t xml:space="preserve">diff_v77a_to_v77b_common.txt</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fe5df849c76e05971645726136d7f136f508783ada6c2a92b216966bac1bb027</w:t>
            </w:r>
          </w:p>
        </w:tc>
      </w:tr>
    </w:tbl>
    <w:p>
      <w:pPr>
        <w:spacing w:after="160"/>
      </w:pPr>
    </w:p>
    <w:p>
      <w:pPr>
        <w:spacing w:after="120"/>
      </w:pPr>
      <w:r>
        <w:t xml:space="preserve">Base del diff, registrada en la § 4 del Acta 01 y sin cambios: mtps_c_v7_7a_common.py, SHA-256 d0a7b151ff6d456ab2cf51cfbebfddb98b93696d6e676b0c7e8d80930dacf74e.</w:t>
      </w:r>
    </w:p>
    <w:p>
      <w:pPr>
        <w:spacing w:after="120"/>
      </w:pPr>
      <w:r>
        <w:t xml:space="preserve">Hash canónico del dataset que verifica la puerta G13, registrado en la condición C4 del Acta 01 y sin cambios: b2b0937a069d0170d9379ae08919067b9fff3e5ffc967a9f580425a80efedf47.</w:t>
      </w:r>
    </w:p>
    <w:p>
      <w:pPr>
        <w:spacing w:after="120"/>
      </w:pPr>
      <w:r>
        <w:rPr>
          <w:b/>
          <w:bCs/>
        </w:rPr>
        <w:t xml:space="preserve">Advertencia de procedimiento. </w:t>
      </w:r>
      <w:r>
        <w:t xml:space="preserve">Los hashes de esta sección deben recalcularse sobre las copias que efectivamente residan en MyDrive/mtps_c/ antes de firmar este anexo. Un archivo reenviado o reexportado no conserva su hash. Si alguno difiere, el valor obtenido sobre Drive es el que rige y este anexo debe reemitirse con nuevo número de versión.</w:t>
      </w:r>
    </w:p>
    <w:p>
      <w:pPr>
        <w:pStyle w:val="Heading1"/>
        <w:spacing w:after="140" w:before="280"/>
      </w:pPr>
      <w:r>
        <w:t xml:space="preserve">4. Verificación del alcance del diff (condición C6)</w:t>
      </w:r>
    </w:p>
    <w:p>
      <w:pPr>
        <w:spacing w:after="120"/>
      </w:pPr>
      <w:r>
        <w:t xml:space="preserve">El artefacto de diff registra 447 líneas agregadas y 706 eliminadas respecto de la base congelada. El saldo negativo es consecuencia directa de la forma de derivación adoptada: el módulo común de v7.7-b importa de la base toda la física, los generadores, el integrador, el análisis de componentes principales, el score kNN y el umbral conformal, en lugar de copiarlos. Lo que el diff agrega es exclusivamente lo declarado.</w:t>
      </w:r>
    </w:p>
    <w:p>
      <w:pPr>
        <w:spacing w:after="120"/>
      </w:pPr>
      <w:r>
        <w:t xml:space="preserve">Se verifica que los cambios se mantienen dentro de los siete puntos del alcance declarado:</w:t>
      </w:r>
    </w:p>
    <w:p>
      <w:pPr>
        <w:pStyle w:val="ListParagraph"/>
        <w:numPr>
          <w:ilvl w:val="0"/>
          <w:numId w:val="1"/>
        </w:numPr>
        <w:spacing w:after="120"/>
      </w:pPr>
      <w:r>
        <w:t xml:space="preserve">C6.1 — la regla n_calib = piso(M/2) en reemplazo de la constante N_GT_CALIB = 12.</w:t>
      </w:r>
    </w:p>
    <w:p>
      <w:pPr>
        <w:pStyle w:val="ListParagraph"/>
        <w:numPr>
          <w:ilvl w:val="0"/>
          <w:numId w:val="1"/>
        </w:numPr>
        <w:spacing w:after="120"/>
      </w:pPr>
      <w:r>
        <w:t xml:space="preserve">C6.2 — la implementación de las puertas G11, G12 y G13, cada una con emisión de artefacto de aborto.</w:t>
      </w:r>
    </w:p>
    <w:p>
      <w:pPr>
        <w:pStyle w:val="ListParagraph"/>
        <w:numPr>
          <w:ilvl w:val="0"/>
          <w:numId w:val="1"/>
        </w:numPr>
        <w:spacing w:after="120"/>
      </w:pPr>
      <w:r>
        <w:t xml:space="preserve">C6.3 — el bloque de procedencia exigido por C9, incorporado a cada partial.</w:t>
      </w:r>
    </w:p>
    <w:p>
      <w:pPr>
        <w:pStyle w:val="ListParagraph"/>
        <w:numPr>
          <w:ilvl w:val="0"/>
          <w:numId w:val="1"/>
        </w:numPr>
        <w:spacing w:after="120"/>
      </w:pPr>
      <w:r>
        <w:t xml:space="preserve">C6.4 — los reportes de C11.f(iii): distribución del proxy por celda y escalera de medianas de tau por nivel y M.</w:t>
      </w:r>
    </w:p>
    <w:p>
      <w:pPr>
        <w:pStyle w:val="ListParagraph"/>
        <w:numPr>
          <w:ilvl w:val="0"/>
          <w:numId w:val="1"/>
        </w:numPr>
        <w:spacing w:after="120"/>
      </w:pPr>
      <w:r>
        <w:t xml:space="preserve">C6.5 — la infraestructura de checkpoints y reanudación, sin efecto sobre el cómputo.</w:t>
      </w:r>
    </w:p>
    <w:p>
      <w:pPr>
        <w:pStyle w:val="ListParagraph"/>
        <w:numPr>
          <w:ilvl w:val="0"/>
          <w:numId w:val="1"/>
        </w:numPr>
        <w:spacing w:after="120"/>
      </w:pPr>
      <w:r>
        <w:t xml:space="preserve">C6.6 — el espaciado de semillas de ground truth proporcional a M, conforme a la Enmienda 01.</w:t>
      </w:r>
    </w:p>
    <w:p>
      <w:pPr>
        <w:pStyle w:val="ListParagraph"/>
        <w:numPr>
          <w:ilvl w:val="0"/>
          <w:numId w:val="1"/>
        </w:numPr>
        <w:spacing w:after="120"/>
      </w:pPr>
      <w:r>
        <w:t xml:space="preserve">C6.7 — el guardia de n_calib ante fallos de integración, conforme a la Enmienda 01.</w:t>
      </w:r>
    </w:p>
    <w:p>
      <w:pPr>
        <w:spacing w:after="120"/>
      </w:pPr>
      <w:r>
        <w:t xml:space="preserve">No se registran cambios fuera de esa lista. La retrocompatibilidad en M = 25 se conserva y es lo que hace verificable a la puerta G11: con ese valor la regla devuelve n_calib = 12 y el espaciado de semillas devuelve los mismos valores que la base congelada.</w:t>
      </w:r>
    </w:p>
    <w:p>
      <w:pPr>
        <w:pStyle w:val="Heading1"/>
        <w:spacing w:after="140" w:before="280"/>
      </w:pPr>
      <w:r>
        <w:t xml:space="preserve">5. Auditoría cruzada del código</w:t>
      </w:r>
    </w:p>
    <w:p>
      <w:pPr>
        <w:spacing w:after="120"/>
      </w:pPr>
      <w:r>
        <w:t xml:space="preserve">Conforme a la regla de alternancia del programa, los cuatro artefactos fueron redactados por un integrante y auditados por otro, que no participó en su escritura.</w:t>
      </w:r>
    </w:p>
    <w:p>
      <w:pPr>
        <w:spacing w:after="120"/>
      </w:pPr>
      <w:r>
        <w:rPr>
          <w:b/>
          <w:bCs/>
        </w:rPr>
        <w:t xml:space="preserve">Hallazgo bloqueante de la primera revisión. </w:t>
      </w:r>
      <w:r>
        <w:t xml:space="preserve">La función de clasificación de escenario exigía el criterio C11.a sobre los tres valores de M. Ese criterio está definido en el prerregistro únicamente para M = 40 y M = 50, y en M = 25 no puede cumplirse por construcción, porque los niveles 0,90 y 0,95 colapsan al mismo umbral. La consecuencia era que el escenario S11.1 resultaba inalcanzable: aun con los dos brazos nuevos cumpliendo la totalidad de los criterios, el veredicto mecánico habría emitido S11.3. El defecto no habría producido error de ejecución, sino un veredicto silencioso y equivocado.</w:t>
      </w:r>
    </w:p>
    <w:p>
      <w:pPr>
        <w:spacing w:after="120"/>
      </w:pPr>
      <w:r>
        <w:t xml:space="preserve">Corrección aplicada: la clasificación separa el alcance de cada criterio — C11.a, C11.b y C11.f(ii) se exigen solo en M = 40 y M = 50; C11.c y C11.f(i) en los tres M del brazo principal — y el fundamento de esa separación queda escrito en el propio código para que no se pierda en revisiones posteriores. La corrección se verificó con una tabla de verdad sobre los siete casos posibles, incluido el caso real en que C11.a es falso en M = 25 por el colapso, que ahora produce S11.1.</w:t>
      </w:r>
    </w:p>
    <w:p>
      <w:pPr>
        <w:spacing w:after="120"/>
      </w:pPr>
      <w:r>
        <w:t xml:space="preserve">Endurecimiento adicional de la misma revisión: el consolidador ya no se limita a comprobar que los tres stages compartan el mismo hash de dataset, sino que exige que ese hash sea el canónico registrado en la condición C4. Un dataset incorrecto pero compartido por los tres habría pasado el control anterior.</w:t>
      </w:r>
    </w:p>
    <w:p>
      <w:pPr>
        <w:spacing w:after="120"/>
      </w:pPr>
      <w:r>
        <w:t xml:space="preserve">La segunda revisión, posterior a ambas correcciones, no registró hallazgos nuevos y aprobó los artefactos.</w:t>
      </w:r>
    </w:p>
    <w:p>
      <w:pPr>
        <w:pStyle w:val="Heading1"/>
        <w:spacing w:after="140" w:before="280"/>
      </w:pPr>
      <w:r>
        <w:t xml:space="preserve">6. Condición previa a la corrida</w:t>
      </w:r>
    </w:p>
    <w:p>
      <w:pPr>
        <w:spacing w:after="120"/>
      </w:pPr>
      <w:r>
        <w:t xml:space="preserve">Antes de iniciar el primer stage debe ejecutarse una prueba mínima de importación y clasificación, cuyo único propósito es verificar que el entorno de ejecución reproduce lo prerregistrado. Debe comprobar tres cosas: que los módulos importan; que los índices de umbral y las coberturas esperadas coinciden con la tabla de la § 2.2 del Borrador 8; y que la puerta G13 reconoce el dataset canónico.</w:t>
      </w:r>
    </w:p>
    <w:p>
      <w:pPr>
        <w:spacing w:after="120"/>
      </w:pPr>
      <w:r>
        <w:t xml:space="preserve">La verificación del dataset en esta prueba no es redundante con G13. El entorno de ejecución puede haber cambiado de versión entre sesiones, y comprobarlo antes de comprometer horas de cómputo es más barato que descubrirlo durante la corrida.</w:t>
      </w:r>
    </w:p>
    <w:p>
      <w:pPr>
        <w:spacing w:after="40"/>
      </w:pPr>
      <w:r>
        <w:rPr>
          <w:rFonts w:ascii="Consolas" w:cs="Consolas" w:eastAsia="Consolas" w:hAnsi="Consolas"/>
          <w:sz w:val="17"/>
          <w:szCs w:val="17"/>
        </w:rPr>
        <w:t xml:space="preserve">import sys</w:t>
      </w:r>
    </w:p>
    <w:p>
      <w:pPr>
        <w:spacing w:after="40"/>
      </w:pPr>
      <w:r>
        <w:rPr>
          <w:rFonts w:ascii="Consolas" w:cs="Consolas" w:eastAsia="Consolas" w:hAnsi="Consolas"/>
          <w:sz w:val="17"/>
          <w:szCs w:val="17"/>
        </w:rPr>
        <w:t xml:space="preserve">sys.path.insert(0, "/content/drive/MyDrive/mtps_c")</w:t>
      </w:r>
    </w:p>
    <w:p>
      <w:pPr>
        <w:spacing w:after="40"/>
      </w:pPr>
      <w:r>
        <w:rPr>
          <w:rFonts w:ascii="Consolas" w:cs="Consolas" w:eastAsia="Consolas" w:hAnsi="Consolas"/>
          <w:sz w:val="17"/>
          <w:szCs w:val="17"/>
        </w:rPr>
        <w:t xml:space="preserve">from mtps_c_v7_7b_common import (expected_indices_for_M,</w:t>
      </w:r>
    </w:p>
    <w:p>
      <w:pPr>
        <w:spacing w:after="40"/>
      </w:pPr>
      <w:r>
        <w:rPr>
          <w:rFonts w:ascii="Consolas" w:cs="Consolas" w:eastAsia="Consolas" w:hAnsi="Consolas"/>
          <w:sz w:val="17"/>
          <w:szCs w:val="17"/>
        </w:rPr>
        <w:t xml:space="preserve">    expected_coverage_for_M, classify_v77b_scenario,</w:t>
      </w:r>
    </w:p>
    <w:p>
      <w:pPr>
        <w:spacing w:after="40"/>
      </w:pPr>
      <w:r>
        <w:rPr>
          <w:rFonts w:ascii="Consolas" w:cs="Consolas" w:eastAsia="Consolas" w:hAnsi="Consolas"/>
          <w:sz w:val="17"/>
          <w:szCs w:val="17"/>
        </w:rPr>
        <w:t xml:space="preserve">    generate_mixed_dataset, gate_g13, DATASET_SHA256)</w:t>
      </w:r>
    </w:p>
    <w:p>
      <w:pPr>
        <w:spacing w:after="40"/>
      </w:pPr>
      <w:r>
        <w:rPr>
          <w:rFonts w:ascii="Consolas" w:cs="Consolas" w:eastAsia="Consolas" w:hAnsi="Consolas"/>
          <w:sz w:val="17"/>
          <w:szCs w:val="17"/>
        </w:rPr>
        <w:t xml:space="preserve">gate_g13(generate_mixed_dataset(), context="smoke")</w:t>
      </w:r>
    </w:p>
    <w:p>
      <w:pPr>
        <w:spacing w:after="160"/>
      </w:pPr>
    </w:p>
    <w:p>
      <w:pPr>
        <w:pStyle w:val="Heading1"/>
        <w:spacing w:after="140" w:before="280"/>
      </w:pPr>
      <w:r>
        <w:t xml:space="preserve">7. Orden de ejecución (condición C8)</w:t>
      </w:r>
    </w:p>
    <w:p>
      <w:pPr>
        <w:spacing w:after="120"/>
      </w:pPr>
      <w:r>
        <w:t xml:space="preserve">La corrida debe respetar el orden de puertas establecido en el acta. Cada puerta detiene el experimento en el punto en que falla y emite su artefacto de aborto; en ningún caso se produce veredicto de escenario tras un fallo de puerta.</w:t>
      </w:r>
    </w:p>
    <w:p>
      <w:pPr>
        <w:pStyle w:val="ListParagraph"/>
        <w:numPr>
          <w:ilvl w:val="0"/>
          <w:numId w:val="1"/>
        </w:numPr>
        <w:spacing w:after="120"/>
      </w:pPr>
      <w:r>
        <w:t xml:space="preserve">G13 al inicio de cada par (brazo, M), antes de computar nada.</w:t>
      </w:r>
    </w:p>
    <w:p>
      <w:pPr>
        <w:pStyle w:val="ListParagraph"/>
        <w:numPr>
          <w:ilvl w:val="0"/>
          <w:numId w:val="1"/>
        </w:numPr>
        <w:spacing w:after="120"/>
      </w:pPr>
      <w:r>
        <w:t xml:space="preserve">G12 antes de evaluar cobertura alguna en M = 40 y M = 50.</w:t>
      </w:r>
    </w:p>
    <w:p>
      <w:pPr>
        <w:pStyle w:val="ListParagraph"/>
        <w:numPr>
          <w:ilvl w:val="0"/>
          <w:numId w:val="1"/>
        </w:numPr>
        <w:spacing w:after="120"/>
      </w:pPr>
      <w:r>
        <w:t xml:space="preserve">Stage M = 25, brazos principal y control.</w:t>
      </w:r>
    </w:p>
    <w:p>
      <w:pPr>
        <w:pStyle w:val="ListParagraph"/>
        <w:numPr>
          <w:ilvl w:val="0"/>
          <w:numId w:val="1"/>
        </w:numPr>
        <w:spacing w:after="120"/>
      </w:pPr>
      <w:r>
        <w:t xml:space="preserve">G11 sobre el par de brazos de M = 25, contra el artefacto de referencia fijado en la condición C5. La corrida no avanza a M = 40 ni a M = 50 mientras G11 no pase.</w:t>
      </w:r>
    </w:p>
    <w:p>
      <w:pPr>
        <w:pStyle w:val="ListParagraph"/>
        <w:numPr>
          <w:ilvl w:val="0"/>
          <w:numId w:val="1"/>
        </w:numPr>
        <w:spacing w:after="120"/>
      </w:pPr>
      <w:r>
        <w:t xml:space="preserve">Stages M = 40 y M = 50.</w:t>
      </w:r>
    </w:p>
    <w:p>
      <w:pPr>
        <w:pStyle w:val="ListParagraph"/>
        <w:numPr>
          <w:ilvl w:val="0"/>
          <w:numId w:val="1"/>
        </w:numPr>
        <w:spacing w:after="120"/>
      </w:pPr>
      <w:r>
        <w:t xml:space="preserve">Consolidación, que vuelve a ejecutar G11 como primer paso y verifica la procedencia canónica de los tres stages antes de clasificar el escenario.</w:t>
      </w:r>
    </w:p>
    <w:p>
      <w:pPr>
        <w:pStyle w:val="Heading1"/>
        <w:spacing w:after="140" w:before="280"/>
      </w:pPr>
      <w:r>
        <w:t xml:space="preserve">8. Autorización y condiciones que subsisten</w:t>
      </w:r>
    </w:p>
    <w:p>
      <w:pPr>
        <w:spacing w:after="120"/>
      </w:pPr>
      <w:r>
        <w:t xml:space="preserve">Cumplida la condición C7 con el registro de esta sección, queda autorizada la corrida del experimento v7.7-b conforme al prerregistro congelado.</w:t>
      </w:r>
    </w:p>
    <w:p>
      <w:pPr>
        <w:spacing w:after="120"/>
      </w:pPr>
      <w:r>
        <w:t xml:space="preserve">Subsisten sin alteración todas las demás condiciones del Acta de Congelamiento 01, y en particular la C10: ningún documento, dato o script congelado se corrige en sitio. Cualquier modificación posterior de los artefactos registrados en la § 3 exige nuevo número de versión, nuevo SHA-256 y reemisión de este anexo.</w:t>
      </w:r>
    </w:p>
    <w:p>
      <w:pPr>
        <w:spacing w:after="120"/>
      </w:pPr>
      <w:r>
        <w:t xml:space="preserve">Se deja constancia de que los artefactos de código no han sido ejecutados de extremo a extremo al momento de emitir este anexo: se verificaron sintaxis, importaciones, aritmética prerregistrada y tabla de verdad del clasificador. La primera ejecución real es el stage M = 25, y la puerta G11 es la verificación que decide si el código reproduce el método congelado.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C7 al Acta de Congelamiento 01 — MTPS-C v7.7-b</dc:title>
  <dc:creator>Programa MTPS-C</dc:creator>
  <cp:lastModifiedBy>Un-named</cp:lastModifiedBy>
  <cp:revision>1</cp:revision>
  <dcterms:created xsi:type="dcterms:W3CDTF">2026-09-11T21:46:26.256Z</dcterms:created>
  <dcterms:modified xsi:type="dcterms:W3CDTF">2026-09-11T21:46:26.267Z</dcterms:modified>
</cp:coreProperties>
</file>

<file path=docProps/custom.xml><?xml version="1.0" encoding="utf-8"?>
<Properties xmlns="http://schemas.openxmlformats.org/officeDocument/2006/custom-properties" xmlns:vt="http://schemas.openxmlformats.org/officeDocument/2006/docPropsVTypes"/>
</file>