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Anexo C7-c al Acta de Congelamiento 02 — Reemisión 3</w:t>
      </w:r>
    </w:p>
    <w:p>
      <w:pPr>
        <w:spacing w:after="160"/>
        <w:jc w:val="center"/>
      </w:pPr>
      <w:r>
        <w:rPr>
          <w:i/>
          <w:iCs/>
          <w:sz w:val="23"/>
          <w:szCs w:val="23"/>
        </w:rPr>
        <w:t xml:space="preserve">MTPS-C v7.7-c — artefactos de código y autorización de corrida</w:t>
      </w:r>
    </w:p>
    <w:p>
      <w:pPr>
        <w:spacing w:after="160"/>
        <w:jc w:val="center"/>
      </w:pPr>
      <w:r>
        <w:rPr>
          <w:b/>
          <w:bCs/>
          <w:sz w:val="20"/>
          <w:szCs w:val="20"/>
        </w:rPr>
        <w:t xml:space="preserve">AUTORIZA LA CORRIDA DE v7.7-c</w:t>
      </w:r>
    </w:p>
    <w:p>
      <w:pPr>
        <w:spacing w:after="60"/>
        <w:jc w:val="center"/>
      </w:pPr>
      <w:r>
        <w:rPr>
          <w:b/>
          <w:bCs/>
          <w:sz w:val="21"/>
          <w:szCs w:val="21"/>
        </w:rPr>
        <w:t xml:space="preserve">Joaquín Peñafiel</w:t>
      </w:r>
    </w:p>
    <w:p>
      <w:pPr>
        <w:spacing w:after="200"/>
        <w:jc w:val="center"/>
      </w:pPr>
      <w:r>
        <w:rPr>
          <w:sz w:val="20"/>
          <w:szCs w:val="20"/>
        </w:rPr>
        <w:t xml:space="preserve">Chile · 21 de septiembre de 2026</w:t>
      </w:r>
    </w:p>
    <w:p>
      <w:pPr>
        <w:pBdr>
          <w:bottom w:val="single" w:color="AAAAAA" w:sz="6"/>
        </w:pBdr>
        <w:spacing w:after="160"/>
      </w:pPr>
    </w:p>
    <w:p>
      <w:pPr>
        <w:pStyle w:val="Heading1"/>
        <w:spacing w:after="140" w:before="280"/>
      </w:pPr>
      <w:r>
        <w:t xml:space="preserve">1. Objeto</w:t>
      </w:r>
    </w:p>
    <w:p>
      <w:pPr>
        <w:spacing w:after="120"/>
      </w:pPr>
      <w:r>
        <w:t xml:space="preserve">La condición C7-c del Acta de Congelamiento 02 establece que, antes de autorizar la corrida de v7.7-c, deben existir y quedar registrados con su SHA-256 el módulo común, el runner, el consolidador y el artefacto de diff contra la base congelada. Al firmarse el acta esos artefactos no existían, de modo que la autorización quedó diferida a este anexo.</w:t>
      </w:r>
    </w:p>
    <w:p>
      <w:pPr>
        <w:spacing w:after="120"/>
      </w:pPr>
      <w:r>
        <w:t xml:space="preserve">Este anexo registra los cuatro artefactos, verifica que el diff se mantenga dentro del alcance declarado en la C6, deja constancia de la auditoría cruzada del código y, con ello, levanta la condición suspensiva: la corrida queda autorizada.</w:t>
      </w:r>
    </w:p>
    <w:p>
      <w:pPr>
        <w:spacing w:after="120"/>
      </w:pPr>
      <w:r>
        <w:rPr>
          <w:b/>
          <w:bCs/>
        </w:rPr>
        <w:t xml:space="preserve">Motivo de las tres reemisiones. </w:t>
      </w:r>
      <w:r>
        <w:t xml:space="preserve">La primera emisión de este anexo, del 13 de septiembre de 2026, autorizó la corrida con los hashes que entonces tenían los artefactos. Durante el brazo H = 2 la puerta G14 abortó, y la investigación que ordena el escenario S12.3 condujo a la Enmienda 02 al Acta 02, que modifica la tolerancia con que las puertas comparan el radio conformal. Esa enmienda cambia el módulo común, el consolidador, el runner y el artefacto de diff, de modo que los hashes de la primera emisión quedan superados y este anexo se reemite con los valores vigentes. La emisión anterior se conserva en el registro: no se corrige en sitio, conforme a la condición C10. La segunda reemisión, que es esta, responde a un defecto detectado por el segundo auditor sobre la primera: el consolidador exigía un único hash de módulo común entre stages y por tanto rechazaba precisamente la combinación que la Enmienda 02 autoriza. El defecto se describe en la § 5. La tercera reemisión, que es esta, responde a la Enmienda 03, que incorpora persistencia dentro de la configuración para la familia encuentro_violento después de que la configuración 45 no lograra completarse en cinco días de intentos. La enmienda modifica solo el runner; el módulo común, el consolidador y el artefacto de diff conservan sus hashes.</w:t>
      </w:r>
    </w:p>
    <w:p>
      <w:pPr>
        <w:spacing w:after="120"/>
      </w:pPr>
      <w:r>
        <w:t xml:space="preserve">El Acta de Congelamiento 02 y el prerregistro no se modifican. Conforme a la condición C10, ningún documento congelado se corrige en sitio; este anexo se agrega a la cadena documental y se registra con hash propio.</w:t>
      </w:r>
    </w:p>
    <w:p>
      <w:pPr>
        <w:pStyle w:val="Heading1"/>
        <w:spacing w:after="140" w:before="280"/>
      </w:pPr>
      <w:r>
        <w:t xml:space="preserve">2. Documentos que este anexo completa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50"/>
        <w:gridCol w:w="5550"/>
      </w:tblGrid>
      <w:tr>
        <w:tc>
          <w:tcPr>
            <w:tcW w:type="dxa" w:w="3450"/>
            <w:shd w:fill="E8E8E8" w:val="clear"/>
            <w:tcMar>
              <w:top w:type="dxa" w:w="50"/>
              <w:left w:type="dxa" w:w="90"/>
              <w:bottom w:type="dxa" w:w="50"/>
              <w:right w:type="dxa" w:w="90"/>
            </w:tcMar>
          </w:tcPr>
          <w:p>
            <w:pPr>
              <w:jc w:val="center"/>
            </w:pPr>
            <w:r>
              <w:rPr>
                <w:b/>
                <w:bCs/>
                <w:sz w:val="17"/>
                <w:szCs w:val="17"/>
              </w:rPr>
              <w:t xml:space="preserve">Documento</w:t>
            </w:r>
          </w:p>
        </w:tc>
        <w:tc>
          <w:tcPr>
            <w:tcW w:type="dxa" w:w="5550"/>
            <w:shd w:fill="E8E8E8" w:val="clear"/>
            <w:tcMar>
              <w:top w:type="dxa" w:w="50"/>
              <w:left w:type="dxa" w:w="90"/>
              <w:bottom w:type="dxa" w:w="50"/>
              <w:right w:type="dxa" w:w="90"/>
            </w:tcMar>
          </w:tcPr>
          <w:p>
            <w:pPr>
              <w:jc w:val="center"/>
            </w:pPr>
            <w:r>
              <w:rPr>
                <w:b/>
                <w:bCs/>
                <w:sz w:val="17"/>
                <w:szCs w:val="17"/>
              </w:rPr>
              <w:t xml:space="preserve">SHA-256</w:t>
            </w:r>
          </w:p>
        </w:tc>
      </w:tr>
      <w:tr>
        <w:tc>
          <w:tcPr>
            <w:tcW w:type="dxa" w:w="3450"/>
            <w:tcMar>
              <w:top w:type="dxa" w:w="50"/>
              <w:left w:type="dxa" w:w="90"/>
              <w:bottom w:type="dxa" w:w="50"/>
              <w:right w:type="dxa" w:w="90"/>
            </w:tcMar>
          </w:tcPr>
          <w:p>
            <w:pPr>
              <w:jc w:val="left"/>
            </w:pPr>
            <w:r>
              <w:rPr>
                <w:b w:val="false"/>
                <w:bCs w:val="false"/>
                <w:sz w:val="17"/>
                <w:szCs w:val="17"/>
              </w:rPr>
              <w:t xml:space="preserve">Hoja de Ruta v7.7-c, Borrador 5 (prerregistro)</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56949b19b1c9572e2cd8a56181b3ac72c909642c6d8feb9dd1b601526735ee66</w:t>
            </w:r>
          </w:p>
        </w:tc>
      </w:tr>
      <w:tr>
        <w:tc>
          <w:tcPr>
            <w:tcW w:type="dxa" w:w="3450"/>
            <w:tcMar>
              <w:top w:type="dxa" w:w="50"/>
              <w:left w:type="dxa" w:w="90"/>
              <w:bottom w:type="dxa" w:w="50"/>
              <w:right w:type="dxa" w:w="90"/>
            </w:tcMar>
          </w:tcPr>
          <w:p>
            <w:pPr>
              <w:jc w:val="left"/>
            </w:pPr>
            <w:r>
              <w:rPr>
                <w:b w:val="false"/>
                <w:bCs w:val="false"/>
                <w:sz w:val="17"/>
                <w:szCs w:val="17"/>
              </w:rPr>
              <w:t xml:space="preserve">Acta de Congelamiento 02</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00411e57f7492aa7736dd3b7d40f9bf45eebbeb0089b4e1060a7563fd84bae54</w:t>
            </w:r>
          </w:p>
        </w:tc>
      </w:tr>
      <w:tr>
        <w:tc>
          <w:tcPr>
            <w:tcW w:type="dxa" w:w="3450"/>
            <w:tcMar>
              <w:top w:type="dxa" w:w="50"/>
              <w:left w:type="dxa" w:w="90"/>
              <w:bottom w:type="dxa" w:w="50"/>
              <w:right w:type="dxa" w:w="90"/>
            </w:tcMar>
          </w:tcPr>
          <w:p>
            <w:pPr>
              <w:jc w:val="left"/>
            </w:pPr>
            <w:r>
              <w:rPr>
                <w:b w:val="false"/>
                <w:bCs w:val="false"/>
                <w:sz w:val="17"/>
                <w:szCs w:val="17"/>
              </w:rPr>
              <w:t xml:space="preserve">Enmienda 02 al Acta 02</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cabb62991049e17eba6a97316ff0930d134d13c54f9d5bedf57e85e764df968a</w:t>
            </w:r>
          </w:p>
        </w:tc>
      </w:tr>
      <w:tr>
        <w:tc>
          <w:tcPr>
            <w:tcW w:type="dxa" w:w="3450"/>
            <w:tcMar>
              <w:top w:type="dxa" w:w="50"/>
              <w:left w:type="dxa" w:w="90"/>
              <w:bottom w:type="dxa" w:w="50"/>
              <w:right w:type="dxa" w:w="90"/>
            </w:tcMar>
          </w:tcPr>
          <w:p>
            <w:pPr>
              <w:jc w:val="left"/>
            </w:pPr>
            <w:r>
              <w:rPr>
                <w:b w:val="false"/>
                <w:bCs w:val="false"/>
                <w:sz w:val="17"/>
                <w:szCs w:val="17"/>
              </w:rPr>
              <w:t xml:space="preserve">Enmienda 03 al Acta 02</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ca32bf54d6069afdb83d49e26a53ddabafdc059d04e0f4f9cbd4b0cec6451b78</w:t>
            </w:r>
          </w:p>
        </w:tc>
      </w:tr>
    </w:tbl>
    <w:p>
      <w:pPr>
        <w:spacing w:after="160"/>
      </w:pPr>
    </w:p>
    <w:p>
      <w:pPr>
        <w:pStyle w:val="Heading1"/>
        <w:spacing w:after="140" w:before="280"/>
      </w:pPr>
      <w:r>
        <w:t xml:space="preserve">3. Artefactos de código (condición C7-c)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50"/>
        <w:gridCol w:w="5550"/>
      </w:tblGrid>
      <w:tr>
        <w:tc>
          <w:tcPr>
            <w:tcW w:type="dxa" w:w="3450"/>
            <w:shd w:fill="E8E8E8" w:val="clear"/>
            <w:tcMar>
              <w:top w:type="dxa" w:w="50"/>
              <w:left w:type="dxa" w:w="90"/>
              <w:bottom w:type="dxa" w:w="50"/>
              <w:right w:type="dxa" w:w="90"/>
            </w:tcMar>
          </w:tcPr>
          <w:p>
            <w:pPr>
              <w:jc w:val="center"/>
            </w:pPr>
            <w:r>
              <w:rPr>
                <w:b/>
                <w:bCs/>
                <w:sz w:val="17"/>
                <w:szCs w:val="17"/>
              </w:rPr>
              <w:t xml:space="preserve">Artefacto</w:t>
            </w:r>
          </w:p>
        </w:tc>
        <w:tc>
          <w:tcPr>
            <w:tcW w:type="dxa" w:w="5550"/>
            <w:shd w:fill="E8E8E8" w:val="clear"/>
            <w:tcMar>
              <w:top w:type="dxa" w:w="50"/>
              <w:left w:type="dxa" w:w="90"/>
              <w:bottom w:type="dxa" w:w="50"/>
              <w:right w:type="dxa" w:w="90"/>
            </w:tcMar>
          </w:tcPr>
          <w:p>
            <w:pPr>
              <w:jc w:val="center"/>
            </w:pPr>
            <w:r>
              <w:rPr>
                <w:b/>
                <w:bCs/>
                <w:sz w:val="17"/>
                <w:szCs w:val="17"/>
              </w:rPr>
              <w:t xml:space="preserve">SHA-256</w:t>
            </w:r>
          </w:p>
        </w:tc>
      </w:tr>
      <w:tr>
        <w:tc>
          <w:tcPr>
            <w:tcW w:type="dxa" w:w="3450"/>
            <w:tcMar>
              <w:top w:type="dxa" w:w="50"/>
              <w:left w:type="dxa" w:w="90"/>
              <w:bottom w:type="dxa" w:w="50"/>
              <w:right w:type="dxa" w:w="90"/>
            </w:tcMar>
          </w:tcPr>
          <w:p>
            <w:pPr>
              <w:jc w:val="left"/>
            </w:pPr>
            <w:r>
              <w:rPr>
                <w:b w:val="false"/>
                <w:bCs w:val="false"/>
                <w:sz w:val="17"/>
                <w:szCs w:val="17"/>
              </w:rPr>
              <w:t xml:space="preserve">mtps_c_v7_7c_common.py</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a6c37a3b8931e87223d25103965ea8392adb61b14831cb1f95b4c00844f038d6</w:t>
            </w:r>
          </w:p>
        </w:tc>
      </w:tr>
      <w:tr>
        <w:tc>
          <w:tcPr>
            <w:tcW w:type="dxa" w:w="3450"/>
            <w:tcMar>
              <w:top w:type="dxa" w:w="50"/>
              <w:left w:type="dxa" w:w="90"/>
              <w:bottom w:type="dxa" w:w="50"/>
              <w:right w:type="dxa" w:w="90"/>
            </w:tcMar>
          </w:tcPr>
          <w:p>
            <w:pPr>
              <w:jc w:val="left"/>
            </w:pPr>
            <w:r>
              <w:rPr>
                <w:b w:val="false"/>
                <w:bCs w:val="false"/>
                <w:sz w:val="17"/>
                <w:szCs w:val="17"/>
              </w:rPr>
              <w:t xml:space="preserve">mtps_c_v7_7c_runner.py</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3f9d345e91d08f19fdf9638e6a3bbb5daa8234a25559e4f6d45a4a51a5b3b2d4</w:t>
            </w:r>
          </w:p>
        </w:tc>
      </w:tr>
      <w:tr>
        <w:tc>
          <w:tcPr>
            <w:tcW w:type="dxa" w:w="3450"/>
            <w:tcMar>
              <w:top w:type="dxa" w:w="50"/>
              <w:left w:type="dxa" w:w="90"/>
              <w:bottom w:type="dxa" w:w="50"/>
              <w:right w:type="dxa" w:w="90"/>
            </w:tcMar>
          </w:tcPr>
          <w:p>
            <w:pPr>
              <w:jc w:val="left"/>
            </w:pPr>
            <w:r>
              <w:rPr>
                <w:b w:val="false"/>
                <w:bCs w:val="false"/>
                <w:sz w:val="17"/>
                <w:szCs w:val="17"/>
              </w:rPr>
              <w:t xml:space="preserve">mtps_c_v7_7c_consolidate.py</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2b6bd013c048438713a2a483fc40c63bdebf892bf61ae30d39e02fae60ce0dfd</w:t>
            </w:r>
          </w:p>
        </w:tc>
      </w:tr>
      <w:tr>
        <w:tc>
          <w:tcPr>
            <w:tcW w:type="dxa" w:w="3450"/>
            <w:tcMar>
              <w:top w:type="dxa" w:w="50"/>
              <w:left w:type="dxa" w:w="90"/>
              <w:bottom w:type="dxa" w:w="50"/>
              <w:right w:type="dxa" w:w="90"/>
            </w:tcMar>
          </w:tcPr>
          <w:p>
            <w:pPr>
              <w:jc w:val="left"/>
            </w:pPr>
            <w:r>
              <w:rPr>
                <w:b w:val="false"/>
                <w:bCs w:val="false"/>
                <w:sz w:val="17"/>
                <w:szCs w:val="17"/>
              </w:rPr>
              <w:t xml:space="preserve">diff_v77b_to_v77c_common.txt</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2dbbf861cb72c8973da0dcb884982b13fa0f8efdfa52b52d56620a68ba94c251</w:t>
            </w:r>
          </w:p>
        </w:tc>
      </w:tr>
    </w:tbl>
    <w:p>
      <w:pPr>
        <w:spacing w:after="160"/>
      </w:pPr>
    </w:p>
    <w:p>
      <w:pPr>
        <w:spacing w:after="120"/>
      </w:pPr>
      <w:r>
        <w:t xml:space="preserve">Base del diff, registrada en la § 4 del Acta 02 y sin cambios: mtps_c_v7_7b_common.py, SHA-256 9485b073ed7281f02f4662c686b62426db4cc60fdd4842b198a671dff610bc30. El encabezado del artefacto de diff declara esa base y el hash del módulo resultante, de modo que la correspondencia entre ambos es verificable sin abrir el código.</w:t>
      </w:r>
    </w:p>
    <w:p>
      <w:pPr>
        <w:spacing w:after="120"/>
      </w:pPr>
      <w:r>
        <w:rPr>
          <w:b/>
          <w:bCs/>
        </w:rPr>
        <w:t xml:space="preserve">Advertencia de procedimiento. </w:t>
      </w:r>
      <w:r>
        <w:t xml:space="preserve">Los hashes deben recalcularse sobre las copias que residan en MyDrive/mtps_c/ antes de firmar. El artefacto de diff es especialmente sensible: abrirlo y guardarlo en un editor que altere los saltos de línea cambia su hash sin cambiar su contenido visible.</w:t>
      </w:r>
    </w:p>
    <w:p>
      <w:pPr>
        <w:pStyle w:val="Heading1"/>
        <w:spacing w:after="140" w:before="280"/>
      </w:pPr>
      <w:r>
        <w:t xml:space="preserve">4. Verificación del alcance del diff (condición C6)</w:t>
      </w:r>
    </w:p>
    <w:p>
      <w:pPr>
        <w:spacing w:after="120"/>
      </w:pPr>
      <w:r>
        <w:t xml:space="preserve">El artefacto de diff registra 508 líneas agregadas y 393 eliminadas respecto de la base congelada de v7.7-b. El saldo positivo, a diferencia del de la etapa anterior, refleja que esta etapa añade tres reportes estructurales y dos puertas que no existían, y no que se haya recopiado maquinaria: el módulo importa de la base de v7.7-b, y a través de ella de la de v7.7-a, toda la física, el integrador, el análisis de componentes, el score kNN, el umbral conformal, las reglas de n_calib, las semillas y el hash canónico del dataset.</w:t>
      </w:r>
    </w:p>
    <w:p>
      <w:pPr>
        <w:spacing w:after="120"/>
      </w:pPr>
      <w:r>
        <w:t xml:space="preserve">Se verifica que los cambios se mantienen dentro de los seis puntos del alcance declarado:</w:t>
      </w:r>
    </w:p>
    <w:p>
      <w:pPr>
        <w:pStyle w:val="ListParagraph"/>
        <w:numPr>
          <w:ilvl w:val="0"/>
          <w:numId w:val="1"/>
        </w:numPr>
        <w:spacing w:after="120"/>
      </w:pPr>
      <w:r>
        <w:t xml:space="preserve">C6.1 — la regla N_SNAPSHOTS = 10·H y el horizonte H·T_adaptive, con el espaciado entre snapshots invariante en T_adaptive/10.</w:t>
      </w:r>
    </w:p>
    <w:p>
      <w:pPr>
        <w:pStyle w:val="ListParagraph"/>
        <w:numPr>
          <w:ilvl w:val="0"/>
          <w:numId w:val="1"/>
        </w:numPr>
        <w:spacing w:after="120"/>
      </w:pPr>
      <w:r>
        <w:t xml:space="preserve">C6.2 — la implementación de las puertas G14, G15, G16 y G17, con sus alcances acotados y emisión de artefacto de aborto.</w:t>
      </w:r>
    </w:p>
    <w:p>
      <w:pPr>
        <w:pStyle w:val="ListParagraph"/>
        <w:numPr>
          <w:ilvl w:val="0"/>
          <w:numId w:val="1"/>
        </w:numPr>
        <w:spacing w:after="120"/>
      </w:pPr>
      <w:r>
        <w:t xml:space="preserve">C6.3 — el bloque de procedencia extendido con H, n_snapshots y el hash del módulo empleado.</w:t>
      </w:r>
    </w:p>
    <w:p>
      <w:pPr>
        <w:pStyle w:val="ListParagraph"/>
        <w:numPr>
          <w:ilvl w:val="0"/>
          <w:numId w:val="1"/>
        </w:numPr>
        <w:spacing w:after="120"/>
      </w:pPr>
      <w:r>
        <w:t xml:space="preserve">C6.4 — los tres reportes obligatorios: varianza explicada por una base fija de dos componentes, radio de la envolvente del ensemble por celda, y escalera de τ por nivel y snapshot.</w:t>
      </w:r>
    </w:p>
    <w:p>
      <w:pPr>
        <w:pStyle w:val="ListParagraph"/>
        <w:numPr>
          <w:ilvl w:val="0"/>
          <w:numId w:val="1"/>
        </w:numPr>
        <w:spacing w:after="120"/>
      </w:pPr>
      <w:r>
        <w:t xml:space="preserve">C6.5 — el reporte de d_eff_raw junto a d_eff_model.</w:t>
      </w:r>
    </w:p>
    <w:p>
      <w:pPr>
        <w:pStyle w:val="ListParagraph"/>
        <w:numPr>
          <w:ilvl w:val="0"/>
          <w:numId w:val="1"/>
        </w:numPr>
        <w:spacing w:after="120"/>
      </w:pPr>
      <w:r>
        <w:t xml:space="preserve">C6.6 — la infraestructura de checkpoints por par (brazo, H) y el forzado en código del orden de puertas que exige la C8.</w:t>
      </w:r>
    </w:p>
    <w:p>
      <w:pPr>
        <w:spacing w:after="120"/>
      </w:pPr>
      <w:r>
        <w:t xml:space="preserve">No se registran cambios fuera de esa lista. La invariancia del espaciado entre snapshots se verificó de forma independiente: con T = H·T_adaptive y n = 10·H, los instantes evaluados de un horizonte menor son un subconjunto exacto de los de uno mayor, que es la condición sobre la que descansan G14 y G17.</w:t>
      </w:r>
    </w:p>
    <w:p>
      <w:pPr>
        <w:pStyle w:val="Heading1"/>
        <w:spacing w:after="140" w:before="280"/>
      </w:pPr>
      <w:r>
        <w:t xml:space="preserve">5. Auditoría cruzada del código</w:t>
      </w:r>
    </w:p>
    <w:p>
      <w:pPr>
        <w:spacing w:after="120"/>
      </w:pPr>
      <w:r>
        <w:t xml:space="preserve">Conforme a la regla de alternancia del programa, los cuatro artefactos fueron redactados por un integrante y auditados por otro, que no participó en su escritura. Es la segunda etapa consecutiva en que esa auditoría detecta un defecto que el redactor no había visto.</w:t>
      </w:r>
    </w:p>
    <w:p>
      <w:pPr>
        <w:spacing w:after="120"/>
      </w:pPr>
      <w:r>
        <w:rPr>
          <w:b/>
          <w:bCs/>
        </w:rPr>
        <w:t xml:space="preserve">Hallazgo bloqueante. </w:t>
      </w:r>
      <w:r>
        <w:t xml:space="preserve">La función de comparación compartida por las puertas de regresión verificaba que las celdas presentes coincidieran con la referencia, y abortaba ante celdas de la corrida ausentes en aquella. No verificaba, en cambio, el sentido inverso: celdas que la referencia contiene y que la corrida no produjo. Una configuración que fallara su integración no habría generado filas, y la puerta habría pasado con las restantes. El defecto no habría producido error de ejecución sino una puerta que se declara satisfecha sobre una comparación incompleta, que es la forma más silenciosa en que una verificación puede fallar.</w:t>
      </w:r>
    </w:p>
    <w:p>
      <w:pPr>
        <w:spacing w:after="120"/>
      </w:pPr>
      <w:r>
        <w:t xml:space="preserve">Corrección aplicada: la comparación es ahora bidireccional y de completitud. Exige que el conjunto de celdas observadas y el de celdas de referencia coincidan dentro del alcance de aborto, informa el número de celdas efectivamente comparadas, y deja constancia explícita de que no hubo ausentes ni sobrantes. La corrección se verificó con los seis casos posibles —coincidencia total, celda ausente en alcance de aborto, celda ausente solo en el snapshot de reporte, celda sobrante, celda que difiere en alcance de aborto y celda que difiere solo en el reporte—, y en los seis el comportamiento fue el prerregistrado.</w:t>
      </w:r>
    </w:p>
    <w:p>
      <w:pPr>
        <w:spacing w:after="120"/>
      </w:pPr>
      <w:r>
        <w:t xml:space="preserve">Dos correcciones adicionales de la misma revisión, ambas adoptadas. Primera: el consolidador verifica ahora la coherencia entre stages del hash del módulo común, de H, de M, del número de snapshots y del tamaño del ensemble, y no solo la del dataset; un stage corrido con otro módulo no es comparable aunque comparta las configuraciones. Segunda: la verificación de G14 escribe un marcador que el runner exige antes de lanzar el brazo operativo, de modo que el orden de puertas de la condición C8 queda impuesto por el código y no depende de que el operador siga el protocolo manualmente.</w:t>
      </w:r>
    </w:p>
    <w:p>
      <w:pPr>
        <w:spacing w:after="120"/>
      </w:pPr>
      <w:r>
        <w:t xml:space="preserve">La segunda revisión, posterior a las tres correcciones, no registró hallazgos nuevos y aprobó los artefactos, y sobre esa base se emitió la primera versión de este anexo.</w:t>
      </w:r>
    </w:p>
    <w:p>
      <w:pPr>
        <w:spacing w:after="120"/>
      </w:pPr>
      <w:r>
        <w:rPr>
          <w:b/>
          <w:bCs/>
        </w:rPr>
        <w:t xml:space="preserve">Quinta ronda — persistencia dentro de la configuración. </w:t>
      </w:r>
      <w:r>
        <w:t xml:space="preserve">La propuesta de la Enmienda 03 surgió del responsable del programa, que pidió checkpoint dentro de las configuraciones pesadas. El redactor la implementó como una caché de integraciones interceptada desde el runner, sin tocar el módulo común. El segundo auditor la aprobó y agregó dos elementos que el redactor no había previsto: incluir en la clave de caché el hash del módulo del integrador, porque rtol, atol y max_step no son argumentos y una caché reutilizada tras un cambio de integrador devolvería resultados obsoletos; y declarar que el mecanismo no resuelve el caso de una integración individual que no termina, lo que motivó el registro de cada integración con su hora. La verificación sobre ID_figura_ocho_00 dio resultado idéntico en los tres estados de caché.</w:t>
      </w:r>
    </w:p>
    <w:p>
      <w:pPr>
        <w:spacing w:after="120"/>
      </w:pPr>
      <w:r>
        <w:rPr>
          <w:b/>
          <w:bCs/>
        </w:rPr>
        <w:t xml:space="preserve">Cuarta ronda — contradicción entre la enmienda y el consolidador. </w:t>
      </w:r>
      <w:r>
        <w:t xml:space="preserve">La revisión de la primera reemisión detectó que el consolidador conservaba una verificación de coherencia que exigía un único hash de módulo común entre los dos stages, y que esa verificación rechazaba la reutilización del cómputo de H = 2 que la Enmienda 02 autoriza expresamente. El defecto es del redactor, que escribió el chequeo de coherencia y la enmienda que lo contradice sin advertir el choque. Se adopta la corrección, con una diferencia respecto de la propuesta: en lugar de fijar el par exacto de hashes históricos, la regla admite dos combinaciones —ambos stages con el módulo enmendado, que es el estado más limpio y el que resultaría de recorrer H = 2 después de la enmienda, o bien H = 2 con el módulo previo y H = 4 con el enmendado, que es la excepción autorizada— y rechaza cualquier otra. Fijar solo el par histórico habría hecho que el estado más limpio fuera rechazado por el código. La regla se verificó sobre las cinco combinaciones posibles y el reporte y el veredicto dejan constancia explícita de cuál de las dos rige en cada corrida.</w:t>
      </w:r>
    </w:p>
    <w:p>
      <w:pPr>
        <w:spacing w:after="120"/>
      </w:pPr>
      <w:r>
        <w:rPr>
          <w:b/>
          <w:bCs/>
        </w:rPr>
        <w:t xml:space="preserve">Tercera ronda, posterior al aborto de G14. </w:t>
      </w:r>
      <w:r>
        <w:t xml:space="preserve">La investigación del aborto condujo a la Enmienda 02 y a una discusión entre los dos revisores sobre si correspondía recorrer H = 2 completo. El segundo auditor lo exigía inicialmente por trazabilidad; el redactor sostuvo que la enmienda afecta la puerta y no el cómputo, y propuso sustituir la recorrida por una verificación estática del árbol sintáctico más una verificación empírica sobre una sola configuración. El segundo auditor revisó su posición y adoptó esa alternativa, agregando por su parte el piso absoluto de la fórmula de tolerancia, que el redactor no había contemplado y que evita que el criterio se vuelva inutilizable para radios cercanos a cero. La formulación vigente es la resultante de esa discusión.</w:t>
      </w:r>
    </w:p>
    <w:p>
      <w:pPr>
        <w:pStyle w:val="Heading1"/>
        <w:spacing w:after="140" w:before="280"/>
      </w:pPr>
      <w:r>
        <w:t xml:space="preserve">6. Condición previa a la corrida</w:t>
      </w:r>
    </w:p>
    <w:p>
      <w:pPr>
        <w:spacing w:after="120"/>
      </w:pPr>
      <w:r>
        <w:t xml:space="preserve">Antes de iniciar el primer stage debe ejecutarse una prueba mínima de importación y verificación de entorno, cuyo único propósito es comprobar que la sesión reproduce lo prerregistrado. Debe verificar que los módulos importan, que la puerta G16 reconoce los índices de umbral de M = 40, y que la puerta G15 reconoce el dataset canónico.</w:t>
      </w:r>
    </w:p>
    <w:p>
      <w:pPr>
        <w:spacing w:after="40"/>
      </w:pPr>
      <w:r>
        <w:rPr>
          <w:rFonts w:ascii="Consolas" w:cs="Consolas" w:eastAsia="Consolas" w:hAnsi="Consolas"/>
          <w:sz w:val="16"/>
          <w:szCs w:val="16"/>
        </w:rPr>
        <w:t xml:space="preserve">import sys</w:t>
      </w:r>
    </w:p>
    <w:p>
      <w:pPr>
        <w:spacing w:after="40"/>
      </w:pPr>
      <w:r>
        <w:rPr>
          <w:rFonts w:ascii="Consolas" w:cs="Consolas" w:eastAsia="Consolas" w:hAnsi="Consolas"/>
          <w:sz w:val="16"/>
          <w:szCs w:val="16"/>
        </w:rPr>
        <w:t xml:space="preserve">sys.path.insert(0, "/content/drive/MyDrive/mtps_c")</w:t>
      </w:r>
    </w:p>
    <w:p>
      <w:pPr>
        <w:spacing w:after="40"/>
      </w:pPr>
      <w:r>
        <w:rPr>
          <w:rFonts w:ascii="Consolas" w:cs="Consolas" w:eastAsia="Consolas" w:hAnsi="Consolas"/>
          <w:sz w:val="16"/>
          <w:szCs w:val="16"/>
        </w:rPr>
        <w:t xml:space="preserve">from mtps_c_v7_7c_common import (generate_mixed_dataset,</w:t>
      </w:r>
    </w:p>
    <w:p>
      <w:pPr>
        <w:spacing w:after="40"/>
      </w:pPr>
      <w:r>
        <w:rPr>
          <w:rFonts w:ascii="Consolas" w:cs="Consolas" w:eastAsia="Consolas" w:hAnsi="Consolas"/>
          <w:sz w:val="16"/>
          <w:szCs w:val="16"/>
        </w:rPr>
        <w:t xml:space="preserve">    gate_g15, gate_g16, VE_UMBRAL, n_snapshots_for_H)</w:t>
      </w:r>
    </w:p>
    <w:p>
      <w:pPr>
        <w:spacing w:after="40"/>
      </w:pPr>
      <w:r>
        <w:rPr>
          <w:rFonts w:ascii="Consolas" w:cs="Consolas" w:eastAsia="Consolas" w:hAnsi="Consolas"/>
          <w:sz w:val="16"/>
          <w:szCs w:val="16"/>
        </w:rPr>
        <w:t xml:space="preserve">gate_g15(generate_mixed_dataset(), context="smoke")</w:t>
      </w:r>
    </w:p>
    <w:p>
      <w:pPr>
        <w:spacing w:after="40"/>
      </w:pPr>
      <w:r>
        <w:rPr>
          <w:rFonts w:ascii="Consolas" w:cs="Consolas" w:eastAsia="Consolas" w:hAnsi="Consolas"/>
          <w:sz w:val="16"/>
          <w:szCs w:val="16"/>
        </w:rPr>
        <w:t xml:space="preserve">gate_g16()</w:t>
      </w:r>
    </w:p>
    <w:p>
      <w:pPr>
        <w:spacing w:after="160"/>
      </w:pPr>
    </w:p>
    <w:p>
      <w:pPr>
        <w:spacing w:after="120"/>
      </w:pPr>
      <w:r>
        <w:t xml:space="preserve">La verificación del dataset en esta prueba no es redundante con G15. El entorno de ejecución puede haber cambiado de versión entre sesiones, y comprobarlo antes de comprometer horas de cómputo es más barato que descubrirlo durante la corrida.</w:t>
      </w:r>
    </w:p>
    <w:p>
      <w:pPr>
        <w:pStyle w:val="Heading1"/>
        <w:spacing w:after="140" w:before="280"/>
      </w:pPr>
      <w:r>
        <w:t xml:space="preserve">7. Orden de ejecución (condición C8)</w:t>
      </w:r>
    </w:p>
    <w:p>
      <w:pPr>
        <w:spacing w:after="120"/>
      </w:pPr>
      <w:r>
        <w:t xml:space="preserve">La corrida debe respetar el orden de puertas establecido en el acta. Cada puerta detiene el experimento en el punto en que falla, dentro de su alcance acotado, y emite su artefacto de aborto; en ningún caso se produce veredicto de escenario tras un fallo de puerta.</w:t>
      </w:r>
    </w:p>
    <w:p>
      <w:pPr>
        <w:pStyle w:val="ListParagraph"/>
        <w:numPr>
          <w:ilvl w:val="0"/>
          <w:numId w:val="1"/>
        </w:numPr>
        <w:spacing w:after="120"/>
      </w:pPr>
      <w:r>
        <w:t xml:space="preserve">G15 y G16 al inicio de cada par (brazo, H), antes de computar nada.</w:t>
      </w:r>
    </w:p>
    <w:p>
      <w:pPr>
        <w:pStyle w:val="ListParagraph"/>
        <w:numPr>
          <w:ilvl w:val="0"/>
          <w:numId w:val="1"/>
        </w:numPr>
        <w:spacing w:after="120"/>
      </w:pPr>
      <w:r>
        <w:t xml:space="preserve">Stage H = 2, punto de control intermedio, veinte snapshots.</w:t>
      </w:r>
    </w:p>
    <w:p>
      <w:pPr>
        <w:pStyle w:val="ListParagraph"/>
        <w:numPr>
          <w:ilvl w:val="0"/>
          <w:numId w:val="1"/>
        </w:numPr>
        <w:spacing w:after="120"/>
      </w:pPr>
      <w:r>
        <w:t xml:space="preserve">G14 sobre H = 2, con aborto en los snapshots 1 a 9 y reporte del snapshot 10. La corrida no avanza a H = 4 mientras esta puerta no pase, y el runner lo impide por código.</w:t>
      </w:r>
    </w:p>
    <w:p>
      <w:pPr>
        <w:pStyle w:val="ListParagraph"/>
        <w:numPr>
          <w:ilvl w:val="0"/>
          <w:numId w:val="1"/>
        </w:numPr>
        <w:spacing w:after="120"/>
      </w:pPr>
      <w:r>
        <w:t xml:space="preserve">Stage H = 4, variable operativa, cuarenta snapshots.</w:t>
      </w:r>
    </w:p>
    <w:p>
      <w:pPr>
        <w:pStyle w:val="ListParagraph"/>
        <w:numPr>
          <w:ilvl w:val="0"/>
          <w:numId w:val="1"/>
        </w:numPr>
        <w:spacing w:after="120"/>
      </w:pPr>
      <w:r>
        <w:t xml:space="preserve">Consolidación, que reejecuta G14 sobre ambos brazos, ejecuta G17 con aborto en los snapshots 1 a 19 y reporte del snapshot 20, verifica la procedencia canónica y coherente de los dos stages, y solo entonces clasifica el escenario.</w:t>
      </w:r>
    </w:p>
    <w:p>
      <w:pPr>
        <w:pStyle w:val="Heading1"/>
        <w:spacing w:after="140" w:before="280"/>
      </w:pPr>
      <w:r>
        <w:t xml:space="preserve">8. Autorización y condiciones que subsisten</w:t>
      </w:r>
    </w:p>
    <w:p>
      <w:pPr>
        <w:spacing w:after="120"/>
      </w:pPr>
      <w:r>
        <w:t xml:space="preserve">Cumplida la condición C7-c con el registro de la § 3, queda autorizada la corrida del experimento v7.7-c conforme al prerregistro congelado.</w:t>
      </w:r>
    </w:p>
    <w:p>
      <w:pPr>
        <w:spacing w:after="120"/>
      </w:pPr>
      <w:r>
        <w:t xml:space="preserve">Subsisten sin alteración todas las demás condiciones del Acta de Congelamiento 02, y en particular la C10 sobre corrección en sitio, la C11-c sobre el contraste obligatorio de la predicción prerregistrada, y las cinco condiciones de la Enmienda 02, entre ellas la prohibición de relajar la tolerancia por segunda vez.</w:t>
      </w:r>
    </w:p>
    <w:p>
      <w:pPr>
        <w:spacing w:after="120"/>
      </w:pPr>
      <w:r>
        <w:rPr>
          <w:b/>
          <w:bCs/>
        </w:rPr>
        <w:t xml:space="preserve">Constancia sobre el presupuesto. </w:t>
      </w:r>
      <w:r>
        <w:t xml:space="preserve">El brazo H = 2 consumió 10,5 horas frente a las 7,6 estimadas, un 38,5 % por encima. La regla del Acta 02 obliga a recalcular el presupuesto de H = 4 solo si el exceso supera el cincuenta por ciento, de modo que no se activa. Se registra, para planificación, que si H = 4 escalara en la misma proporción consumiría unas 21 horas en lugar de las 15,1 estimadas.</w:t>
      </w:r>
    </w:p>
    <w:p>
      <w:pPr>
        <w:spacing w:after="120"/>
      </w:pPr>
      <w:r>
        <w:t xml:space="preserve">Se deja constancia de que los artefactos de código no han sido ejecutados de extremo a extremo al momento de emitir este anexo. Se verificaron sintaxis, importaciones, la invariancia del espaciado entre horizontes, la tabla de verdad del clasificador de escenario y el comportamiento de completitud de las puertas sobre casos construidos. La primera ejecución real es el stage H = 2, y la puerta G14 es la verificación que decide si el código reproduce el horizonte de referencia del método congelado.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C7-c (reemisión) al Acta de Congelamiento 02 — MTPS-C v7.7-c</dc:title>
  <dc:creator>Programa MTPS-C</dc:creator>
  <cp:lastModifiedBy>Un-named</cp:lastModifiedBy>
  <cp:revision>1</cp:revision>
  <dcterms:created xsi:type="dcterms:W3CDTF">2026-09-22T00:19:23.903Z</dcterms:created>
  <dcterms:modified xsi:type="dcterms:W3CDTF">2026-09-22T00:19:23.903Z</dcterms:modified>
</cp:coreProperties>
</file>

<file path=docProps/custom.xml><?xml version="1.0" encoding="utf-8"?>
<Properties xmlns="http://schemas.openxmlformats.org/officeDocument/2006/custom-properties" xmlns:vt="http://schemas.openxmlformats.org/officeDocument/2006/docPropsVTypes"/>
</file>