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1"/>
          <w:szCs w:val="31"/>
        </w:rPr>
        <w:t xml:space="preserve">Enmienda 03 al Acta de Congelamiento 02</w:t>
      </w:r>
    </w:p>
    <w:p>
      <w:pPr>
        <w:spacing w:after="160"/>
        <w:jc w:val="center"/>
      </w:pPr>
      <w:r>
        <w:rPr>
          <w:i/>
          <w:iCs/>
          <w:sz w:val="23"/>
          <w:szCs w:val="23"/>
        </w:rPr>
        <w:t xml:space="preserve">MTPS-C v7.7-c — persistencia dentro de la configuración</w:t>
      </w:r>
    </w:p>
    <w:p>
      <w:pPr>
        <w:spacing w:after="160"/>
        <w:jc w:val="center"/>
      </w:pPr>
      <w:r>
        <w:rPr>
          <w:b/>
          <w:bCs/>
          <w:sz w:val="20"/>
          <w:szCs w:val="20"/>
        </w:rPr>
        <w:t xml:space="preserve">ENMIENDA OPERATIVA — NO MODIFICA EL MÉTODO</w:t>
      </w:r>
    </w:p>
    <w:p>
      <w:pPr>
        <w:spacing w:after="60"/>
        <w:jc w:val="center"/>
      </w:pPr>
      <w:r>
        <w:rPr>
          <w:b/>
          <w:bCs/>
          <w:sz w:val="21"/>
          <w:szCs w:val="21"/>
        </w:rPr>
        <w:t xml:space="preserve">Joaquín Peñafiel</w:t>
      </w:r>
    </w:p>
    <w:p>
      <w:pPr>
        <w:spacing w:after="200"/>
        <w:jc w:val="center"/>
      </w:pPr>
      <w:r>
        <w:rPr>
          <w:sz w:val="20"/>
          <w:szCs w:val="20"/>
        </w:rPr>
        <w:t xml:space="preserve">Chile · 21 de septiembre de 2026</w:t>
      </w:r>
    </w:p>
    <w:p>
      <w:pPr>
        <w:pBdr>
          <w:bottom w:val="single" w:color="AAAAAA" w:sz="6"/>
        </w:pBdr>
        <w:spacing w:after="160"/>
      </w:pPr>
    </w:p>
    <w:p>
      <w:pPr>
        <w:pStyle w:val="Heading1"/>
        <w:spacing w:after="140" w:before="280"/>
      </w:pPr>
      <w:r>
        <w:t xml:space="preserve">1. Objeto</w:t>
      </w:r>
    </w:p>
    <w:p>
      <w:pPr>
        <w:spacing w:after="120"/>
      </w:pPr>
      <w:r>
        <w:t xml:space="preserve">Esta enmienda incorpora un mecanismo de persistencia dentro de la configuración para el brazo H = 4. A diferencia de la Enmienda 02, no modifica ninguna puerta ni ningún criterio, y no toca el módulo común: cambia exclusivamente el runner, y solo para decidir si una integración ya terminada debe recomputarse o puede recuperarse de disco.</w:t>
      </w:r>
    </w:p>
    <w:p>
      <w:pPr>
        <w:pStyle w:val="Heading1"/>
        <w:spacing w:after="140" w:before="280"/>
      </w:pPr>
      <w:r>
        <w:t xml:space="preserve">2. Circunstancia</w:t>
      </w:r>
    </w:p>
    <w:p>
      <w:pPr>
        <w:spacing w:after="120"/>
      </w:pPr>
      <w:r>
        <w:t xml:space="preserve">El brazo H = 4 se lanzó el jueves 17 de septiembre de 2026. Las configuraciones 0 a 44 se completaron en menos de dos días de calendario. La configuración 45, OOD_FAR_encuentro_violento_01, no logró completarse en cinco días: los intentos registrados alcanzaron siete, ocho y ocho horas y media antes de que la plataforma interrumpiera la sesión, y ninguno dejó resultado utilizable.</w:t>
      </w:r>
    </w:p>
    <w:p>
      <w:pPr>
        <w:spacing w:after="120"/>
      </w:pPr>
      <w:r>
        <w:t xml:space="preserve">La causa es la granularidad del checkpoint. El runner guarda una configuración solo cuando termina entera, de modo que cada interrupción descarta el intento completo. En configuraciones de pocos segundos eso es irrelevante; en una que requiere más horas continuas de las que la plataforma sostiene, lo vuelve irresoluble por repetición. El informe de v7.7-b ya había registrado que la familia encuentro_violento concentra el 84,8 % del cómputo. Lo que esta etapa agrega es que, a partir de cierta duración, la concentración deja de ser un problema de costo y pasa a ser uno de factibilidad.</w:t>
      </w:r>
    </w:p>
    <w:p>
      <w:pPr>
        <w:spacing w:after="120"/>
      </w:pPr>
      <w:r>
        <w:rPr>
          <w:b/>
          <w:bCs/>
        </w:rPr>
        <w:t xml:space="preserve">Constancia del entorno. </w:t>
      </w:r>
      <w:r>
        <w:t xml:space="preserve">Todas las sesiones registradas asignaron el mismo hardware: un Intel Xeon a 2,20 GHz con dos núcleos y 12 GB de memoria. La variación observada entre intentos de la misma configuración no se explica por el procesador asignado y se atribuye, sin haber podido medirla, a contención de recursos en el host compartido.</w:t>
      </w:r>
    </w:p>
    <w:p>
      <w:pPr>
        <w:pStyle w:val="Heading1"/>
        <w:spacing w:after="140" w:before="280"/>
      </w:pPr>
      <w:r>
        <w:t xml:space="preserve">3. Mecanismo</w:t>
      </w:r>
    </w:p>
    <w:p>
      <w:pPr>
        <w:spacing w:after="120"/>
      </w:pPr>
      <w:r>
        <w:t xml:space="preserve">Cada configuración comprende 90 integraciones independientes: 50 del ensemble y 40 ground truths. El runner intercepta la función de integración con una caché en disco, de modo que cada integración terminada se guarda de inmediato y, al reanudar tras una caída, se recupera en lugar de recomputarse. La pérdida máxima por interrupción pasa de un intento completo a una sola integración.</w:t>
      </w:r>
    </w:p>
    <w:p>
      <w:pPr>
        <w:spacing w:after="120"/>
      </w:pPr>
      <w:r>
        <w:rPr>
          <w:b/>
          <w:bCs/>
        </w:rPr>
        <w:t xml:space="preserve">Por qué la caché no altera el cómputo. </w:t>
      </w:r>
      <w:r>
        <w:t xml:space="preserve">La clave de cada entrada es el SHA-256 de todos los insumos materiales de la integración. El integrador es determinista, de modo que devolver el resultado guardado bajo una clave es idéntico por construcción a volver a integrar con los mismos insumos.</w:t>
      </w:r>
    </w:p>
    <w:p>
      <w:pPr>
        <w:spacing w:after="120"/>
      </w:pPr>
      <w:r>
        <w:t xml:space="preserve">La clave comprende:</w:t>
      </w:r>
    </w:p>
    <w:p>
      <w:pPr>
        <w:pStyle w:val="ListParagraph"/>
        <w:numPr>
          <w:ilvl w:val="0"/>
          <w:numId w:val="1"/>
        </w:numPr>
        <w:spacing w:after="120"/>
      </w:pPr>
      <w:r>
        <w:t xml:space="preserve">las masas y el estado inicial exacto, ya perturbado;</w:t>
      </w:r>
    </w:p>
    <w:p>
      <w:pPr>
        <w:pStyle w:val="ListParagraph"/>
        <w:numPr>
          <w:ilvl w:val="0"/>
          <w:numId w:val="1"/>
        </w:numPr>
        <w:spacing w:after="120"/>
      </w:pPr>
      <w:r>
        <w:t xml:space="preserve">el horizonte de integración y el número de snapshots;</w:t>
      </w:r>
    </w:p>
    <w:p>
      <w:pPr>
        <w:pStyle w:val="ListParagraph"/>
        <w:numPr>
          <w:ilvl w:val="0"/>
          <w:numId w:val="1"/>
        </w:numPr>
        <w:spacing w:after="120"/>
      </w:pPr>
      <w:r>
        <w:t xml:space="preserve">el SHA-256 del módulo que define el integrador, que captura rtol, atol y max_step, escritos dentro de la función congelada y no expuestos como argumentos;</w:t>
      </w:r>
    </w:p>
    <w:p>
      <w:pPr>
        <w:pStyle w:val="ListParagraph"/>
        <w:numPr>
          <w:ilvl w:val="0"/>
          <w:numId w:val="1"/>
        </w:numPr>
        <w:spacing w:after="120"/>
      </w:pPr>
      <w:r>
        <w:t xml:space="preserve">una etiqueta de versión de la caché.</w:t>
      </w:r>
    </w:p>
    <w:p>
      <w:pPr>
        <w:spacing w:after="120"/>
      </w:pPr>
      <w:r>
        <w:t xml:space="preserve">Los dos últimos componentes impiden que la caché devuelva resultados obsoletos si el integrador cambiara y la carpeta se reutilizara en una etapa posterior. Fueron incorporados a propuesta del segundo auditor.</w:t>
      </w:r>
    </w:p>
    <w:p>
      <w:pPr>
        <w:spacing w:after="120"/>
      </w:pPr>
      <w:r>
        <w:rPr>
          <w:b/>
          <w:bCs/>
        </w:rPr>
        <w:t xml:space="preserve">Dónde se intercepta. </w:t>
      </w:r>
      <w:r>
        <w:t xml:space="preserve">evaluate_config_v77c resuelve integrate_with_snapshots en el espacio de nombres del módulo común en el momento de la llamada. El runner sustituye esa referencia durante la configuración y la restaura al terminar, incluso si la evaluación falla. Interceptar el símbolo del módulo de v7.7-a no tendría efecto, porque el módulo común conserva su propia referencia.</w:t>
      </w:r>
    </w:p>
    <w:p>
      <w:pPr>
        <w:pStyle w:val="Heading1"/>
        <w:spacing w:after="140" w:before="280"/>
      </w:pPr>
      <w:r>
        <w:t xml:space="preserve">4. Alcance</w:t>
      </w:r>
    </w:p>
    <w:p>
      <w:pPr>
        <w:spacing w:after="120"/>
      </w:pPr>
      <w:r>
        <w:t xml:space="preserve">El mecanismo se aplica a las configuraciones cuyo subtipo es encuentro_violento, identificadas por su atributo y no por su posición en el dataset. La familia se determina por el dato de costo de v7.7-b, registrado antes de esta corrida, y no por una elección hecha tras observar qué configuraciones fallaban. Las demás configuraciones se evalúan exactamente como antes.</w:t>
      </w:r>
    </w:p>
    <w:p>
      <w:pPr>
        <w:spacing w:after="120"/>
      </w:pPr>
      <w:r>
        <w:t xml:space="preserve">Quedan sin modificación:</w:t>
      </w:r>
    </w:p>
    <w:p>
      <w:pPr>
        <w:pStyle w:val="ListParagraph"/>
        <w:numPr>
          <w:ilvl w:val="0"/>
          <w:numId w:val="1"/>
        </w:numPr>
        <w:spacing w:after="120"/>
      </w:pPr>
      <w:r>
        <w:t xml:space="preserve">mtps_c_v7_7c_common.py, cuyo hash permanece en a6c37a3b8931e87223d25103965ea8392adb61b14831cb1f95b4c00844f038d6;</w:t>
      </w:r>
    </w:p>
    <w:p>
      <w:pPr>
        <w:pStyle w:val="ListParagraph"/>
        <w:numPr>
          <w:ilvl w:val="0"/>
          <w:numId w:val="1"/>
        </w:numPr>
        <w:spacing w:after="120"/>
      </w:pPr>
      <w:r>
        <w:t xml:space="preserve">evaluate_config_v77c y aggregate_results_v77c;</w:t>
      </w:r>
    </w:p>
    <w:p>
      <w:pPr>
        <w:pStyle w:val="ListParagraph"/>
        <w:numPr>
          <w:ilvl w:val="0"/>
          <w:numId w:val="1"/>
        </w:numPr>
        <w:spacing w:after="120"/>
      </w:pPr>
      <w:r>
        <w:t xml:space="preserve">las cuatro puertas, los criterios y el clasificador de escenario.</w:t>
      </w:r>
    </w:p>
    <w:p>
      <w:pPr>
        <w:spacing w:after="120"/>
      </w:pPr>
      <w:r>
        <w:t xml:space="preserve">En el runner se agregan seis funciones y se modifica una sola línea de run_stage_c, la que invoca la evaluación.</w:t>
      </w:r>
    </w:p>
    <w:p>
      <w:pPr>
        <w:pStyle w:val="Heading1"/>
        <w:spacing w:after="140" w:before="280"/>
      </w:pPr>
      <w:r>
        <w:t xml:space="preserve">5. Verificación empírica</w:t>
      </w:r>
    </w:p>
    <w:p>
      <w:pPr>
        <w:spacing w:after="120"/>
      </w:pPr>
      <w:r>
        <w:t xml:space="preserve">Antes de aplicar el mecanismo al experimento se verificó sobre ID_figura_ocho_00, configuración ya completada en H = 4, comparando bit a bit contra su checkpoint existente, que fue computado sin caché. Se probaron los tres estados posibles de la caché:</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shd w:fill="E8E8E8" w:val="clear"/>
            <w:tcMar>
              <w:top w:type="dxa" w:w="50"/>
              <w:left w:type="dxa" w:w="90"/>
              <w:bottom w:type="dxa" w:w="50"/>
              <w:right w:type="dxa" w:w="90"/>
            </w:tcMar>
          </w:tcPr>
          <w:p>
            <w:pPr>
              <w:jc w:val="center"/>
            </w:pPr>
            <w:r>
              <w:rPr>
                <w:b/>
                <w:bCs/>
                <w:sz w:val="17"/>
                <w:szCs w:val="17"/>
              </w:rPr>
              <w:t xml:space="preserve">Caso</w:t>
            </w:r>
          </w:p>
        </w:tc>
        <w:tc>
          <w:tcPr>
            <w:tcW w:type="dxa" w:w="2000"/>
            <w:shd w:fill="E8E8E8" w:val="clear"/>
            <w:tcMar>
              <w:top w:type="dxa" w:w="50"/>
              <w:left w:type="dxa" w:w="90"/>
              <w:bottom w:type="dxa" w:w="50"/>
              <w:right w:type="dxa" w:w="90"/>
            </w:tcMar>
          </w:tcPr>
          <w:p>
            <w:pPr>
              <w:jc w:val="center"/>
            </w:pPr>
            <w:r>
              <w:rPr>
                <w:b/>
                <w:bCs/>
                <w:sz w:val="17"/>
                <w:szCs w:val="17"/>
              </w:rPr>
              <w:t xml:space="preserve">Desde caché</w:t>
            </w:r>
          </w:p>
        </w:tc>
        <w:tc>
          <w:tcPr>
            <w:tcW w:type="dxa" w:w="4000"/>
            <w:shd w:fill="E8E8E8" w:val="clear"/>
            <w:tcMar>
              <w:top w:type="dxa" w:w="50"/>
              <w:left w:type="dxa" w:w="90"/>
              <w:bottom w:type="dxa" w:w="50"/>
              <w:right w:type="dxa" w:w="90"/>
            </w:tcMar>
          </w:tcPr>
          <w:p>
            <w:pPr>
              <w:jc w:val="center"/>
            </w:pPr>
            <w:r>
              <w:rPr>
                <w:b/>
                <w:bCs/>
                <w:sz w:val="17"/>
                <w:szCs w:val="17"/>
              </w:rPr>
              <w:t xml:space="preserve">Resultado</w:t>
            </w:r>
          </w:p>
        </w:tc>
      </w:tr>
      <w:tr>
        <w:tc>
          <w:tcPr>
            <w:tcW w:type="dxa" w:w="3000"/>
            <w:tcMar>
              <w:top w:type="dxa" w:w="50"/>
              <w:left w:type="dxa" w:w="90"/>
              <w:bottom w:type="dxa" w:w="50"/>
              <w:right w:type="dxa" w:w="90"/>
            </w:tcMar>
          </w:tcPr>
          <w:p>
            <w:pPr>
              <w:jc w:val="left"/>
            </w:pPr>
            <w:r>
              <w:rPr>
                <w:b w:val="false"/>
                <w:bCs w:val="false"/>
                <w:sz w:val="17"/>
                <w:szCs w:val="17"/>
              </w:rPr>
              <w:t xml:space="preserve">Caché vacía</w:t>
            </w:r>
          </w:p>
        </w:tc>
        <w:tc>
          <w:tcPr>
            <w:tcW w:type="dxa" w:w="2000"/>
            <w:tcMar>
              <w:top w:type="dxa" w:w="50"/>
              <w:left w:type="dxa" w:w="90"/>
              <w:bottom w:type="dxa" w:w="50"/>
              <w:right w:type="dxa" w:w="90"/>
            </w:tcMar>
          </w:tcPr>
          <w:p>
            <w:pPr>
              <w:jc w:val="left"/>
            </w:pPr>
            <w:r>
              <w:rPr>
                <w:b w:val="false"/>
                <w:bCs w:val="false"/>
                <w:sz w:val="17"/>
                <w:szCs w:val="17"/>
              </w:rPr>
              <w:t xml:space="preserve">0 de 90</w:t>
            </w:r>
          </w:p>
        </w:tc>
        <w:tc>
          <w:tcPr>
            <w:tcW w:type="dxa" w:w="4000"/>
            <w:tcMar>
              <w:top w:type="dxa" w:w="50"/>
              <w:left w:type="dxa" w:w="90"/>
              <w:bottom w:type="dxa" w:w="50"/>
              <w:right w:type="dxa" w:w="90"/>
            </w:tcMar>
          </w:tcPr>
          <w:p>
            <w:pPr>
              <w:jc w:val="left"/>
            </w:pPr>
            <w:r>
              <w:rPr>
                <w:b w:val="false"/>
                <w:bCs w:val="false"/>
                <w:sz w:val="17"/>
                <w:szCs w:val="17"/>
              </w:rPr>
              <w:t xml:space="preserve">Idéntico — 0 de 2.120 valores difieren</w:t>
            </w:r>
          </w:p>
        </w:tc>
      </w:tr>
      <w:tr>
        <w:tc>
          <w:tcPr>
            <w:tcW w:type="dxa" w:w="3000"/>
            <w:tcMar>
              <w:top w:type="dxa" w:w="50"/>
              <w:left w:type="dxa" w:w="90"/>
              <w:bottom w:type="dxa" w:w="50"/>
              <w:right w:type="dxa" w:w="90"/>
            </w:tcMar>
          </w:tcPr>
          <w:p>
            <w:pPr>
              <w:jc w:val="left"/>
            </w:pPr>
            <w:r>
              <w:rPr>
                <w:b w:val="false"/>
                <w:bCs w:val="false"/>
                <w:sz w:val="17"/>
                <w:szCs w:val="17"/>
              </w:rPr>
              <w:t xml:space="preserve">Caché completa</w:t>
            </w:r>
          </w:p>
        </w:tc>
        <w:tc>
          <w:tcPr>
            <w:tcW w:type="dxa" w:w="2000"/>
            <w:tcMar>
              <w:top w:type="dxa" w:w="50"/>
              <w:left w:type="dxa" w:w="90"/>
              <w:bottom w:type="dxa" w:w="50"/>
              <w:right w:type="dxa" w:w="90"/>
            </w:tcMar>
          </w:tcPr>
          <w:p>
            <w:pPr>
              <w:jc w:val="left"/>
            </w:pPr>
            <w:r>
              <w:rPr>
                <w:b w:val="false"/>
                <w:bCs w:val="false"/>
                <w:sz w:val="17"/>
                <w:szCs w:val="17"/>
              </w:rPr>
              <w:t xml:space="preserve">90 de 90</w:t>
            </w:r>
          </w:p>
        </w:tc>
        <w:tc>
          <w:tcPr>
            <w:tcW w:type="dxa" w:w="4000"/>
            <w:tcMar>
              <w:top w:type="dxa" w:w="50"/>
              <w:left w:type="dxa" w:w="90"/>
              <w:bottom w:type="dxa" w:w="50"/>
              <w:right w:type="dxa" w:w="90"/>
            </w:tcMar>
          </w:tcPr>
          <w:p>
            <w:pPr>
              <w:jc w:val="left"/>
            </w:pPr>
            <w:r>
              <w:rPr>
                <w:b w:val="false"/>
                <w:bCs w:val="false"/>
                <w:sz w:val="17"/>
                <w:szCs w:val="17"/>
              </w:rPr>
              <w:t xml:space="preserve">Idéntico — 0 de 2.120 valores difieren</w:t>
            </w:r>
          </w:p>
        </w:tc>
      </w:tr>
      <w:tr>
        <w:tc>
          <w:tcPr>
            <w:tcW w:type="dxa" w:w="3000"/>
            <w:tcMar>
              <w:top w:type="dxa" w:w="50"/>
              <w:left w:type="dxa" w:w="90"/>
              <w:bottom w:type="dxa" w:w="50"/>
              <w:right w:type="dxa" w:w="90"/>
            </w:tcMar>
          </w:tcPr>
          <w:p>
            <w:pPr>
              <w:jc w:val="left"/>
            </w:pPr>
            <w:r>
              <w:rPr>
                <w:b w:val="false"/>
                <w:bCs w:val="false"/>
                <w:sz w:val="17"/>
                <w:szCs w:val="17"/>
              </w:rPr>
              <w:t xml:space="preserve">Caché parcial (mitad borrada)</w:t>
            </w:r>
          </w:p>
        </w:tc>
        <w:tc>
          <w:tcPr>
            <w:tcW w:type="dxa" w:w="2000"/>
            <w:tcMar>
              <w:top w:type="dxa" w:w="50"/>
              <w:left w:type="dxa" w:w="90"/>
              <w:bottom w:type="dxa" w:w="50"/>
              <w:right w:type="dxa" w:w="90"/>
            </w:tcMar>
          </w:tcPr>
          <w:p>
            <w:pPr>
              <w:jc w:val="left"/>
            </w:pPr>
            <w:r>
              <w:rPr>
                <w:b w:val="false"/>
                <w:bCs w:val="false"/>
                <w:sz w:val="17"/>
                <w:szCs w:val="17"/>
              </w:rPr>
              <w:t xml:space="preserve">45 de 90</w:t>
            </w:r>
          </w:p>
        </w:tc>
        <w:tc>
          <w:tcPr>
            <w:tcW w:type="dxa" w:w="4000"/>
            <w:tcMar>
              <w:top w:type="dxa" w:w="50"/>
              <w:left w:type="dxa" w:w="90"/>
              <w:bottom w:type="dxa" w:w="50"/>
              <w:right w:type="dxa" w:w="90"/>
            </w:tcMar>
          </w:tcPr>
          <w:p>
            <w:pPr>
              <w:jc w:val="left"/>
            </w:pPr>
            <w:r>
              <w:rPr>
                <w:b w:val="false"/>
                <w:bCs w:val="false"/>
                <w:sz w:val="17"/>
                <w:szCs w:val="17"/>
              </w:rPr>
              <w:t xml:space="preserve">Idéntico — 0 de 2.120 valores difieren</w:t>
            </w:r>
          </w:p>
        </w:tc>
      </w:tr>
    </w:tbl>
    <w:p>
      <w:pPr>
        <w:spacing w:after="160"/>
      </w:pPr>
    </w:p>
    <w:p>
      <w:pPr>
        <w:spacing w:after="120"/>
      </w:pPr>
      <w:r>
        <w:t xml:space="preserve">El primer caso verifica que la vía de escritura no altera el cómputo; el segundo, que la lectura devuelve exactamente lo guardado; el tercero, que la reanudación tras una interrupción parcial reconstruye la configuración sin diferencias. El tercero es el que reproduce la situación real que motiva esta enmienda.</w:t>
      </w:r>
    </w:p>
    <w:p>
      <w:pPr>
        <w:pStyle w:val="Heading1"/>
        <w:spacing w:after="140" w:before="280"/>
      </w:pPr>
      <w:r>
        <w:t xml:space="preserve">6. Límite declarado</w:t>
      </w:r>
    </w:p>
    <w:p>
      <w:pPr>
        <w:spacing w:after="120"/>
      </w:pPr>
      <w:r>
        <w:rPr>
          <w:b/>
          <w:bCs/>
        </w:rPr>
        <w:t xml:space="preserve">El mecanismo resuelve interrupciones repetidas, no una integración individual que no termine. </w:t>
      </w:r>
      <w:r>
        <w:t xml:space="preserve">Si una de las 90 integraciones de la configuración 45 requiriera por sí sola más horas continuas de las que la plataforma sostiene, la caché no podría guardarla, porque nunca llegaría a completarse. Esa posibilidad no está descartada.</w:t>
      </w:r>
    </w:p>
    <w:p>
      <w:pPr>
        <w:spacing w:after="120"/>
      </w:pPr>
      <w:r>
        <w:t xml:space="preserve">Para distinguir ambos casos, el runner registra cada integración con su hora. Si las integraciones avanzan de a minutos, el problema era la granularidad del checkpoint y queda resuelto. Si una permanece sin avanzar durante horas, el problema es una trayectoria patológica y corresponde una investigación distinta, que esta enmienda no anticipa ni autoriza.</w:t>
      </w:r>
    </w:p>
    <w:p>
      <w:pPr>
        <w:pStyle w:val="Heading1"/>
        <w:spacing w:after="140" w:before="280"/>
      </w:pPr>
      <w:r>
        <w:t xml:space="preserve">7. Registro para el informe</w:t>
      </w:r>
    </w:p>
    <w:p>
      <w:pPr>
        <w:spacing w:after="120"/>
      </w:pPr>
      <w:r>
        <w:t xml:space="preserve">El informe de resultados de v7.7-c debe documentar el costo del brazo H = 4 en tres magnitudes separadas, porque significan cosas distintas: el cómputo efectivo registrado en los checkpoints, el tiempo de calendario, y el cómputo perdido en intentos interrumpidos. Esta última no aparece en ningún archivo y solo puede reconstruirse a partir del registro de intentos, de modo que su declaración es una estimación y debe presentarse como tal.</w:t>
      </w:r>
    </w:p>
    <w:p>
      <w:pPr>
        <w:spacing w:after="120"/>
      </w:pPr>
      <w:r>
        <w:t xml:space="preserve">Se registra además la conclusión de diseño que esta enmienda establece para cualquier etapa futura con configuraciones de varias horas: el checkpoint por configuración no es suficiente y debe diseñarse desde el inicio con granularidad por integración. Es una restricción de diseño medida, no una incidencia de infraestructura.</w:t>
      </w:r>
    </w:p>
    <w:p>
      <w:pPr>
        <w:pStyle w:val="Heading1"/>
        <w:spacing w:after="140" w:before="280"/>
      </w:pPr>
      <w:r>
        <w:t xml:space="preserve">8. Condiciones</w:t>
      </w:r>
    </w:p>
    <w:p>
      <w:pPr>
        <w:spacing w:after="120"/>
      </w:pPr>
      <w:r>
        <w:rPr>
          <w:b/>
          <w:bCs/>
        </w:rPr>
        <w:t xml:space="preserve">E1 — Reemisión del anexo. </w:t>
      </w:r>
      <w:r>
        <w:t xml:space="preserve">El hash del runner cambia, de modo que el Anexo C7-c debe reemitirse antes de reanudar.</w:t>
      </w:r>
    </w:p>
    <w:p>
      <w:pPr>
        <w:spacing w:after="120"/>
      </w:pPr>
      <w:r>
        <w:rPr>
          <w:b/>
          <w:bCs/>
        </w:rPr>
        <w:t xml:space="preserve">E2 — Sin efecto retroactivo. </w:t>
      </w:r>
      <w:r>
        <w:t xml:space="preserve">Las configuraciones 0 a 44 del brazo H = 4 y todo el brazo H = 2 se conservan tal como fueron computados. La enmienda rige desde la configuración 45 en adelante.</w:t>
      </w:r>
    </w:p>
    <w:p>
      <w:pPr>
        <w:spacing w:after="120"/>
      </w:pPr>
      <w:r>
        <w:rPr>
          <w:b/>
          <w:bCs/>
        </w:rPr>
        <w:t xml:space="preserve">E3 — Consolidación sin cambios. </w:t>
      </w:r>
      <w:r>
        <w:t xml:space="preserve">El consolidador no distingue entre configuraciones computadas con caché y sin ella, y no necesita hacerlo: la verificación de la § 5 establece que ambas vías producen el mismo resultado.</w:t>
      </w:r>
    </w:p>
    <w:p>
      <w:pPr>
        <w:spacing w:after="120"/>
      </w:pPr>
      <w:r>
        <w:t xml:space="preserve">Subsisten sin alteración todas las condiciones del Acta de Congelamiento 02 y de la Enmienda 02. El hash de esta enmienda se calcula tras su guardado definitivo y se registra por separado.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Enmienda 03 al Acta de Congelamiento 02 — MTPS-C v7.7-c</dc:title>
  <dc:creator>Programa MTPS-C</dc:creator>
  <cp:lastModifiedBy>Un-named</cp:lastModifiedBy>
  <cp:revision>1</cp:revision>
  <dcterms:created xsi:type="dcterms:W3CDTF">2026-09-22T00:19:10.504Z</dcterms:created>
  <dcterms:modified xsi:type="dcterms:W3CDTF">2026-09-22T00:19:10.512Z</dcterms:modified>
</cp:coreProperties>
</file>

<file path=docProps/custom.xml><?xml version="1.0" encoding="utf-8"?>
<Properties xmlns="http://schemas.openxmlformats.org/officeDocument/2006/custom-properties" xmlns:vt="http://schemas.openxmlformats.org/officeDocument/2006/docPropsVTypes"/>
</file>