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sz w:val="36"/>
          <w:szCs w:val="36"/>
        </w:rPr>
        <w:t xml:space="preserve">Informe de Resultados — MTPS-C v7.7-a</w:t>
      </w:r>
    </w:p>
    <w:p>
      <w:pPr>
        <w:spacing w:after="160"/>
        <w:jc w:val="center"/>
      </w:pPr>
      <w:r>
        <w:rPr>
          <w:rFonts w:ascii="Arial" w:cs="Arial" w:eastAsia="Arial" w:hAnsi="Arial"/>
          <w:i/>
          <w:iCs/>
          <w:sz w:val="26"/>
          <w:szCs w:val="26"/>
        </w:rPr>
        <w:t xml:space="preserve">Escalamiento Controlado del Ensemble</w:t>
      </w:r>
    </w:p>
    <w:p>
      <w:pPr>
        <w:spacing w:after="160"/>
        <w:jc w:val="center"/>
      </w:pPr>
      <w:r>
        <w:rPr>
          <w:rFonts w:ascii="Arial" w:cs="Arial" w:eastAsia="Arial" w:hAnsi="Arial"/>
          <w:b/>
          <w:bCs/>
          <w:sz w:val="24"/>
          <w:szCs w:val="24"/>
        </w:rPr>
        <w:t xml:space="preserve">Veredicto formal: S10.1 — Robustez al Escalamiento</w:t>
      </w:r>
    </w:p>
    <w:p>
      <w:pPr>
        <w:spacing w:after="160"/>
        <w:jc w:val="center"/>
      </w:pPr>
      <w:r>
        <w:rPr>
          <w:rFonts w:ascii="Arial" w:cs="Arial" w:eastAsia="Arial" w:hAnsi="Arial"/>
          <w:i/>
          <w:iCs/>
          <w:sz w:val="22"/>
          <w:szCs w:val="22"/>
        </w:rPr>
        <w:t xml:space="preserve">Motor de Trayectorias Probabilísticas para Sistemas Caóticos</w:t>
      </w:r>
    </w:p>
    <w:p>
      <w:pPr>
        <w:spacing w:after="120" w:before="400"/>
        <w:jc w:val="center"/>
      </w:pPr>
      <w:r>
        <w:rPr>
          <w:rFonts w:ascii="Arial" w:cs="Arial" w:eastAsia="Arial" w:hAnsi="Arial"/>
          <w:b/>
          <w:bCs/>
          <w:sz w:val="24"/>
          <w:szCs w:val="24"/>
        </w:rPr>
        <w:t xml:space="preserve">Joaquín Peñafiel</w:t>
      </w:r>
    </w:p>
    <w:p>
      <w:pPr>
        <w:spacing w:after="160"/>
        <w:jc w:val="center"/>
      </w:pPr>
      <w:r>
        <w:rPr>
          <w:rFonts w:ascii="Arial" w:cs="Arial" w:eastAsia="Arial" w:hAnsi="Arial"/>
          <w:sz w:val="22"/>
          <w:szCs w:val="22"/>
        </w:rPr>
        <w:t xml:space="preserve">Chile · 11 de agosto de 2026</w:t>
      </w:r>
    </w:p>
    <w:p>
      <w:pPr>
        <w:spacing w:after="160"/>
        <w:jc w:val="center"/>
      </w:pPr>
      <w:r>
        <w:rPr>
          <w:rFonts w:ascii="Arial" w:cs="Arial" w:eastAsia="Arial" w:hAnsi="Arial"/>
          <w:i/>
          <w:iCs/>
          <w:sz w:val="20"/>
          <w:szCs w:val="20"/>
        </w:rPr>
        <w:t xml:space="preserve">Estado: cierre formal · método aux2b congelado durante todo el experimento · prerregistro vinculante (Hoja de Ruta v7.7-a) · veredicto emitido mecánicamente por el consolidador prerregistrado</w:t>
      </w:r>
    </w:p>
    <w:p>
      <w:pPr>
        <w:spacing w:after="160"/>
        <w:jc w:val="center"/>
      </w:pPr>
      <w:r>
        <w:rPr>
          <w:rFonts w:ascii="Arial" w:cs="Arial" w:eastAsia="Arial" w:hAnsi="Arial"/>
          <w:sz w:val="20"/>
          <w:szCs w:val="20"/>
        </w:rPr>
        <w:t xml:space="preserve">Documentos de acompañamiento: Nota Técnica NT-01 (rev. 3) · LIT-00 (borrador 1)</w:t>
      </w:r>
    </w:p>
    <w:p>
      <w:pPr>
        <w:pageBreakBefore/>
      </w:pPr>
    </w:p>
    <w:p>
      <w:pPr>
        <w:pStyle w:val="Heading1"/>
        <w:spacing w:after="160" w:before="280"/>
      </w:pPr>
      <w:r>
        <w:rPr>
          <w:rFonts w:ascii="Arial" w:cs="Arial" w:eastAsia="Arial" w:hAnsi="Arial"/>
          <w:b/>
          <w:bCs/>
          <w:sz w:val="28"/>
          <w:szCs w:val="28"/>
        </w:rPr>
        <w:t xml:space="preserve">1. Resumen Ejecutivo</w:t>
      </w:r>
    </w:p>
    <w:p>
      <w:pPr>
        <w:spacing w:after="120"/>
        <w:jc w:val="both"/>
      </w:pPr>
      <w:r>
        <w:rPr>
          <w:rFonts w:ascii="Arial" w:cs="Arial" w:eastAsia="Arial" w:hAnsi="Arial"/>
          <w:sz w:val="22"/>
          <w:szCs w:val="22"/>
        </w:rPr>
        <w:t xml:space="preserve">v7.7-a formuló una sola pregunta: si la calibración de cobertura del brazo principal (aux2b) es robusta al tamaño del ensemble, o si los resultados previos del programa eran un accidente de N = 50. La respuesta, emitida mecánicamente por el consolidador prerregistrado, es el escenario S10.1: el método cumple los cuatro criterios vinculantes y los cinco niveles de la grilla en los tres valores de N ∈ {50, 100, 200}, con el error de calibración central estable y levemente decreciente (4,25 → 4,07 → 4,02 pp en α = 0,50) al cuadruplicar el ensemble.</w:t>
      </w:r>
    </w:p>
    <w:p>
      <w:pPr>
        <w:spacing w:after="120"/>
        <w:jc w:val="both"/>
      </w:pPr>
      <w:r>
        <w:rPr>
          <w:rFonts w:ascii="Arial" w:cs="Arial" w:eastAsia="Arial" w:hAnsi="Arial"/>
          <w:sz w:val="22"/>
          <w:szCs w:val="22"/>
        </w:rPr>
        <w:t xml:space="preserve">El control negativo falló en los tres N como debe fallar (quinta a séptima replicación consecutiva), y su descalibración en niveles bajos empeora con la escala mientras el principal permanece plano: el contraste entre ambos brazos se ensancha con N. La limitación conocida de la grilla (colapso 0,90/0,95, NT-01) se comportó exactamente como su predicción registrada, tres de tres. El costo computacional real fue ≈ 53,3 h frente a ~21 estimadas, con una cola pesada concentrada en la familia de encuentros violentos del subset OOD lejano, documentada config por config.</w:t>
      </w:r>
    </w:p>
    <w:p>
      <w:pPr>
        <w:pStyle w:val="Heading1"/>
        <w:spacing w:after="160" w:before="280"/>
      </w:pPr>
      <w:r>
        <w:rPr>
          <w:rFonts w:ascii="Arial" w:cs="Arial" w:eastAsia="Arial" w:hAnsi="Arial"/>
          <w:b/>
          <w:bCs/>
          <w:sz w:val="28"/>
          <w:szCs w:val="28"/>
        </w:rPr>
        <w:t xml:space="preserve">2. Diseño Prerregistrado</w:t>
      </w:r>
    </w:p>
    <w:p>
      <w:pPr>
        <w:spacing w:after="120"/>
        <w:jc w:val="both"/>
      </w:pPr>
      <w:r>
        <w:rPr>
          <w:rFonts w:ascii="Arial" w:cs="Arial" w:eastAsia="Arial" w:hAnsi="Arial"/>
          <w:sz w:val="22"/>
          <w:szCs w:val="22"/>
        </w:rPr>
        <w:t xml:space="preserve">Dataset mixto de 60 configuraciones: 20 in-distribution (seed 42), 20 OOD cercano (seed 4242) y 20 OOD lejano (seed 7878; regímenes separatriz, encuentro violento, escape temprano, masas extremas, no virializado). Única variable del experimento: N_ensemble ∈ {50, 100, 200}. Método aux2b congelado, con constantes k = 5, M = 25, ε_pred = 10⁻⁴, ε_real = 10⁻⁶ heredadas de v7.5-b.</w:t>
      </w:r>
    </w:p>
    <w:p>
      <w:pPr>
        <w:spacing w:after="120"/>
        <w:jc w:val="both"/>
      </w:pPr>
      <w:r>
        <w:rPr>
          <w:rFonts w:ascii="Arial" w:cs="Arial" w:eastAsia="Arial" w:hAnsi="Arial"/>
          <w:b/>
          <w:bCs/>
          <w:sz w:val="22"/>
          <w:szCs w:val="22"/>
        </w:rPr>
        <w:t xml:space="preserve">Brazos: </w:t>
      </w:r>
      <w:r>
        <w:rPr>
          <w:rFonts w:ascii="Arial" w:cs="Arial" w:eastAsia="Arial" w:hAnsi="Arial"/>
          <w:sz w:val="22"/>
          <w:szCs w:val="22"/>
        </w:rPr>
        <w:t xml:space="preserve">el principal (aux2b) calibra por configuración contra ground truths reservados (partición conformal 12 + 13 de los M = 25); el control (v75a) calibra contra los propios miembros del ensemble, y existe para replicar el patrón de fallo de v7.5-a.</w:t>
      </w:r>
    </w:p>
    <w:p>
      <w:pPr>
        <w:spacing w:after="120"/>
        <w:jc w:val="both"/>
      </w:pPr>
      <w:r>
        <w:rPr>
          <w:rFonts w:ascii="Arial" w:cs="Arial" w:eastAsia="Arial" w:hAnsi="Arial"/>
          <w:b/>
          <w:bCs/>
          <w:sz w:val="22"/>
          <w:szCs w:val="22"/>
        </w:rPr>
        <w:t xml:space="preserve">Propiedad anidada del escalamiento: </w:t>
      </w:r>
      <w:r>
        <w:rPr>
          <w:rFonts w:ascii="Arial" w:cs="Arial" w:eastAsia="Arial" w:hAnsi="Arial"/>
          <w:sz w:val="22"/>
          <w:szCs w:val="22"/>
        </w:rPr>
        <w:t xml:space="preserve">las seeds por configuración son idénticas entre stages, de modo que los primeros 50 miembros del ensemble de N = 100 son exactamente el ensemble de N = 50, y así sucesivamente. El escalamiento agrega miembros a un conjunto fijo, sin re-muestreo: las diferencias entre N son atribuibles a la adición de miembros, no a ruido de re-muestreo.</w:t>
      </w:r>
    </w:p>
    <w:p>
      <w:pPr>
        <w:spacing w:after="120"/>
        <w:jc w:val="both"/>
      </w:pPr>
      <w:r>
        <w:rPr>
          <w:rFonts w:ascii="Arial" w:cs="Arial" w:eastAsia="Arial" w:hAnsi="Arial"/>
          <w:sz w:val="22"/>
          <w:szCs w:val="22"/>
        </w:rPr>
        <w:t xml:space="preserve">Criterios vinculantes C10.a–d exigidos simultáneamente en los tres N; instrumentales C10.e (tendencia) y C10.f (estabilidad entre splits); escenarios prerregistrados S10.1 (robustez), S10.2 (degradación), S10.3 (inestabilidad).</w:t>
      </w:r>
    </w:p>
    <w:p>
      <w:pPr>
        <w:pStyle w:val="Heading1"/>
        <w:spacing w:after="160" w:before="280"/>
      </w:pPr>
      <w:r>
        <w:rPr>
          <w:rFonts w:ascii="Arial" w:cs="Arial" w:eastAsia="Arial" w:hAnsi="Arial"/>
          <w:b/>
          <w:bCs/>
          <w:sz w:val="28"/>
          <w:szCs w:val="28"/>
        </w:rPr>
        <w:t xml:space="preserve">3. Ejecución y Enmienda Operativa</w:t>
      </w:r>
    </w:p>
    <w:p>
      <w:pPr>
        <w:spacing w:after="120"/>
        <w:jc w:val="both"/>
      </w:pPr>
      <w:r>
        <w:rPr>
          <w:rFonts w:ascii="Arial" w:cs="Arial" w:eastAsia="Arial" w:hAnsi="Arial"/>
          <w:b/>
          <w:bCs/>
          <w:sz w:val="22"/>
          <w:szCs w:val="22"/>
        </w:rPr>
        <w:t xml:space="preserve">Enmienda operativa declarada — runner con checkpoints por config: </w:t>
      </w:r>
      <w:r>
        <w:rPr>
          <w:rFonts w:ascii="Arial" w:cs="Arial" w:eastAsia="Arial" w:hAnsi="Arial"/>
          <w:sz w:val="22"/>
          <w:szCs w:val="22"/>
        </w:rPr>
        <w:t xml:space="preserve">los stages 2 y 3 se ejecutaron con una variante del runner que guarda cada configuración en Google Drive apenas termina y reanuda desde lo ya calculado (mtps_c_v77a_ckpt_runner.py). El cómputo es idéntico al runner original: importa y llama las mismas funciones congeladas, con las mismas seeds por configuración (independientes del orden de ejecución), por lo que una corrida reanudada es bit a bit igual a una corrida directa. La enmienda es de persistencia intermedia, no de método. El stage 1 se corrió con el runner original y su determinismo quedó verificado dígito a dígito entre dos corridas independientes.</w:t>
      </w:r>
    </w:p>
    <w:p>
      <w:pPr>
        <w:spacing w:after="120"/>
        <w:jc w:val="both"/>
      </w:pPr>
      <w:r>
        <w:rPr>
          <w:rFonts w:ascii="Arial" w:cs="Arial" w:eastAsia="Arial" w:hAnsi="Arial"/>
          <w:sz w:val="22"/>
          <w:szCs w:val="22"/>
        </w:rPr>
        <w:t xml:space="preserve">Motivación: las proyecciones de tiempo excedían cualquier sesión de Colab (el stage 3 tomó finalmente 30,7 h de cómputo repartidas en varias sesiones). Durante el stage 3 se produjo un incidente operativo — lanzamiento del runner sin el Drive montado, que crea una carpeta local fantasma y bloquea el mount — resuelto sin pérdida de cómputo gracias a los checkpoints; como prevención quedó incorporado un candado que aborta la ejecución si Drive no está montado. El registro del incidente y su resolución forman parte de la bitácora del programa.</w:t>
      </w:r>
    </w:p>
    <w:p>
      <w:pPr>
        <w:pStyle w:val="Heading1"/>
        <w:spacing w:after="160" w:before="280"/>
      </w:pPr>
      <w:r>
        <w:rPr>
          <w:rFonts w:ascii="Arial" w:cs="Arial" w:eastAsia="Arial" w:hAnsi="Arial"/>
          <w:b/>
          <w:bCs/>
          <w:sz w:val="28"/>
          <w:szCs w:val="28"/>
        </w:rPr>
        <w:t xml:space="preserve">4. Resultados Confirmatorios</w:t>
      </w:r>
    </w:p>
    <w:p>
      <w:pPr>
        <w:pStyle w:val="Heading2"/>
        <w:spacing w:after="140" w:before="220"/>
      </w:pPr>
      <w:r>
        <w:rPr>
          <w:rFonts w:ascii="Arial" w:cs="Arial" w:eastAsia="Arial" w:hAnsi="Arial"/>
          <w:b/>
          <w:bCs/>
          <w:sz w:val="24"/>
          <w:szCs w:val="24"/>
        </w:rPr>
        <w:t xml:space="preserve">4.1 Brazo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rPr>
          <w:tblHeader/>
        </w:trPr>
        <w:tc>
          <w:tcPr>
            <w:tcW w:type="dxa" w:w="3960"/>
            <w:tcMar>
              <w:top w:type="dxa" w:w="60"/>
              <w:left w:type="dxa" w:w="100"/>
              <w:bottom w:type="dxa" w:w="60"/>
              <w:right w:type="dxa" w:w="100"/>
            </w:tcMar>
          </w:tcPr>
          <w:p>
            <w:pPr>
              <w:spacing w:after="0"/>
            </w:pPr>
            <w:r>
              <w:rPr>
                <w:rFonts w:ascii="Arial" w:cs="Arial" w:eastAsia="Arial" w:hAnsi="Arial"/>
                <w:b/>
                <w:bCs/>
                <w:sz w:val="20"/>
                <w:szCs w:val="20"/>
              </w:rPr>
              <w:t xml:space="preserve">ErrCal (pp) / criterio</w:t>
            </w:r>
          </w:p>
        </w:tc>
        <w:tc>
          <w:tcPr>
            <w:tcW w:type="dxa" w:w="1800"/>
            <w:tcMar>
              <w:top w:type="dxa" w:w="60"/>
              <w:left w:type="dxa" w:w="100"/>
              <w:bottom w:type="dxa" w:w="60"/>
              <w:right w:type="dxa" w:w="100"/>
            </w:tcMar>
          </w:tcPr>
          <w:p>
            <w:pPr>
              <w:spacing w:after="0"/>
            </w:pPr>
            <w:r>
              <w:rPr>
                <w:rFonts w:ascii="Arial" w:cs="Arial" w:eastAsia="Arial" w:hAnsi="Arial"/>
                <w:b/>
                <w:bCs/>
                <w:sz w:val="20"/>
                <w:szCs w:val="20"/>
              </w:rPr>
              <w:t xml:space="preserve">N = 50</w:t>
            </w:r>
          </w:p>
        </w:tc>
        <w:tc>
          <w:tcPr>
            <w:tcW w:type="dxa" w:w="1800"/>
            <w:tcMar>
              <w:top w:type="dxa" w:w="60"/>
              <w:left w:type="dxa" w:w="100"/>
              <w:bottom w:type="dxa" w:w="60"/>
              <w:right w:type="dxa" w:w="100"/>
            </w:tcMar>
          </w:tcPr>
          <w:p>
            <w:pPr>
              <w:spacing w:after="0"/>
            </w:pPr>
            <w:r>
              <w:rPr>
                <w:rFonts w:ascii="Arial" w:cs="Arial" w:eastAsia="Arial" w:hAnsi="Arial"/>
                <w:b/>
                <w:bCs/>
                <w:sz w:val="20"/>
                <w:szCs w:val="20"/>
              </w:rPr>
              <w:t xml:space="preserve">N = 100</w:t>
            </w:r>
          </w:p>
        </w:tc>
        <w:tc>
          <w:tcPr>
            <w:tcW w:type="dxa" w:w="1800"/>
            <w:tcMar>
              <w:top w:type="dxa" w:w="60"/>
              <w:left w:type="dxa" w:w="100"/>
              <w:bottom w:type="dxa" w:w="60"/>
              <w:right w:type="dxa" w:w="100"/>
            </w:tcMar>
          </w:tcPr>
          <w:p>
            <w:pPr>
              <w:spacing w:after="0"/>
            </w:pPr>
            <w:r>
              <w:rPr>
                <w:rFonts w:ascii="Arial" w:cs="Arial" w:eastAsia="Arial" w:hAnsi="Arial"/>
                <w:b/>
                <w:bCs/>
                <w:sz w:val="20"/>
                <w:szCs w:val="20"/>
              </w:rPr>
              <w:t xml:space="preserve">N = 200</w:t>
            </w:r>
          </w:p>
        </w:tc>
      </w:tr>
      <w:tr>
        <w:tc>
          <w:tcPr>
            <w:tcW w:type="dxa" w:w="3960"/>
            <w:tcMar>
              <w:top w:type="dxa" w:w="60"/>
              <w:left w:type="dxa" w:w="100"/>
              <w:bottom w:type="dxa" w:w="60"/>
              <w:right w:type="dxa" w:w="100"/>
            </w:tcMar>
          </w:tcPr>
          <w:p>
            <w:pPr>
              <w:spacing w:after="0"/>
            </w:pPr>
            <w:r>
              <w:rPr>
                <w:rFonts w:ascii="Arial" w:cs="Arial" w:eastAsia="Arial" w:hAnsi="Arial"/>
                <w:b w:val="false"/>
                <w:bCs w:val="false"/>
                <w:sz w:val="20"/>
                <w:szCs w:val="20"/>
              </w:rPr>
              <w:t xml:space="preserve">p = 0,30</w:t>
            </w:r>
          </w:p>
        </w:tc>
        <w:tc>
          <w:tcPr>
            <w:tcW w:type="dxa" w:w="1800"/>
            <w:tcMar>
              <w:top w:type="dxa" w:w="60"/>
              <w:left w:type="dxa" w:w="100"/>
              <w:bottom w:type="dxa" w:w="60"/>
              <w:right w:type="dxa" w:w="100"/>
            </w:tcMar>
          </w:tcPr>
          <w:p>
            <w:pPr>
              <w:spacing w:after="0"/>
            </w:pPr>
            <w:r>
              <w:rPr>
                <w:rFonts w:ascii="Arial" w:cs="Arial" w:eastAsia="Arial" w:hAnsi="Arial"/>
                <w:b w:val="false"/>
                <w:bCs w:val="false"/>
                <w:sz w:val="20"/>
                <w:szCs w:val="20"/>
              </w:rPr>
              <w:t xml:space="preserve">0,57</w:t>
            </w:r>
          </w:p>
        </w:tc>
        <w:tc>
          <w:tcPr>
            <w:tcW w:type="dxa" w:w="1800"/>
            <w:tcMar>
              <w:top w:type="dxa" w:w="60"/>
              <w:left w:type="dxa" w:w="100"/>
              <w:bottom w:type="dxa" w:w="60"/>
              <w:right w:type="dxa" w:w="100"/>
            </w:tcMar>
          </w:tcPr>
          <w:p>
            <w:pPr>
              <w:spacing w:after="0"/>
            </w:pPr>
            <w:r>
              <w:rPr>
                <w:rFonts w:ascii="Arial" w:cs="Arial" w:eastAsia="Arial" w:hAnsi="Arial"/>
                <w:b w:val="false"/>
                <w:bCs w:val="false"/>
                <w:sz w:val="20"/>
                <w:szCs w:val="20"/>
              </w:rPr>
              <w:t xml:space="preserve">1,14</w:t>
            </w:r>
          </w:p>
        </w:tc>
        <w:tc>
          <w:tcPr>
            <w:tcW w:type="dxa" w:w="1800"/>
            <w:tcMar>
              <w:top w:type="dxa" w:w="60"/>
              <w:left w:type="dxa" w:w="100"/>
              <w:bottom w:type="dxa" w:w="60"/>
              <w:right w:type="dxa" w:w="100"/>
            </w:tcMar>
          </w:tcPr>
          <w:p>
            <w:pPr>
              <w:spacing w:after="0"/>
            </w:pPr>
            <w:r>
              <w:rPr>
                <w:rFonts w:ascii="Arial" w:cs="Arial" w:eastAsia="Arial" w:hAnsi="Arial"/>
                <w:b w:val="false"/>
                <w:bCs w:val="false"/>
                <w:sz w:val="20"/>
                <w:szCs w:val="20"/>
              </w:rPr>
              <w:t xml:space="preserve">0,76</w:t>
            </w:r>
          </w:p>
        </w:tc>
      </w:tr>
      <w:tr>
        <w:tc>
          <w:tcPr>
            <w:tcW w:type="dxa" w:w="3960"/>
            <w:tcMar>
              <w:top w:type="dxa" w:w="60"/>
              <w:left w:type="dxa" w:w="100"/>
              <w:bottom w:type="dxa" w:w="60"/>
              <w:right w:type="dxa" w:w="100"/>
            </w:tcMar>
          </w:tcPr>
          <w:p>
            <w:pPr>
              <w:spacing w:after="0"/>
            </w:pPr>
            <w:r>
              <w:rPr>
                <w:rFonts w:ascii="Arial" w:cs="Arial" w:eastAsia="Arial" w:hAnsi="Arial"/>
                <w:b w:val="false"/>
                <w:bCs w:val="false"/>
                <w:sz w:val="20"/>
                <w:szCs w:val="20"/>
              </w:rPr>
              <w:t xml:space="preserve">p = 0,50 (principal del veredicto)</w:t>
            </w:r>
          </w:p>
        </w:tc>
        <w:tc>
          <w:tcPr>
            <w:tcW w:type="dxa" w:w="1800"/>
            <w:tcMar>
              <w:top w:type="dxa" w:w="60"/>
              <w:left w:type="dxa" w:w="100"/>
              <w:bottom w:type="dxa" w:w="60"/>
              <w:right w:type="dxa" w:w="100"/>
            </w:tcMar>
          </w:tcPr>
          <w:p>
            <w:pPr>
              <w:spacing w:after="0"/>
            </w:pPr>
            <w:r>
              <w:rPr>
                <w:rFonts w:ascii="Arial" w:cs="Arial" w:eastAsia="Arial" w:hAnsi="Arial"/>
                <w:b w:val="false"/>
                <w:bCs w:val="false"/>
                <w:sz w:val="20"/>
                <w:szCs w:val="20"/>
              </w:rPr>
              <w:t xml:space="preserve">4,25</w:t>
            </w:r>
          </w:p>
        </w:tc>
        <w:tc>
          <w:tcPr>
            <w:tcW w:type="dxa" w:w="1800"/>
            <w:tcMar>
              <w:top w:type="dxa" w:w="60"/>
              <w:left w:type="dxa" w:w="100"/>
              <w:bottom w:type="dxa" w:w="60"/>
              <w:right w:type="dxa" w:w="100"/>
            </w:tcMar>
          </w:tcPr>
          <w:p>
            <w:pPr>
              <w:spacing w:after="0"/>
            </w:pPr>
            <w:r>
              <w:rPr>
                <w:rFonts w:ascii="Arial" w:cs="Arial" w:eastAsia="Arial" w:hAnsi="Arial"/>
                <w:b w:val="false"/>
                <w:bCs w:val="false"/>
                <w:sz w:val="20"/>
                <w:szCs w:val="20"/>
              </w:rPr>
              <w:t xml:space="preserve">4,07</w:t>
            </w:r>
          </w:p>
        </w:tc>
        <w:tc>
          <w:tcPr>
            <w:tcW w:type="dxa" w:w="1800"/>
            <w:tcMar>
              <w:top w:type="dxa" w:w="60"/>
              <w:left w:type="dxa" w:w="100"/>
              <w:bottom w:type="dxa" w:w="60"/>
              <w:right w:type="dxa" w:w="100"/>
            </w:tcMar>
          </w:tcPr>
          <w:p>
            <w:pPr>
              <w:spacing w:after="0"/>
            </w:pPr>
            <w:r>
              <w:rPr>
                <w:rFonts w:ascii="Arial" w:cs="Arial" w:eastAsia="Arial" w:hAnsi="Arial"/>
                <w:b w:val="false"/>
                <w:bCs w:val="false"/>
                <w:sz w:val="20"/>
                <w:szCs w:val="20"/>
              </w:rPr>
              <w:t xml:space="preserve">4,02</w:t>
            </w:r>
          </w:p>
        </w:tc>
      </w:tr>
      <w:tr>
        <w:tc>
          <w:tcPr>
            <w:tcW w:type="dxa" w:w="3960"/>
            <w:tcMar>
              <w:top w:type="dxa" w:w="60"/>
              <w:left w:type="dxa" w:w="100"/>
              <w:bottom w:type="dxa" w:w="60"/>
              <w:right w:type="dxa" w:w="100"/>
            </w:tcMar>
          </w:tcPr>
          <w:p>
            <w:pPr>
              <w:spacing w:after="0"/>
            </w:pPr>
            <w:r>
              <w:rPr>
                <w:rFonts w:ascii="Arial" w:cs="Arial" w:eastAsia="Arial" w:hAnsi="Arial"/>
                <w:b w:val="false"/>
                <w:bCs w:val="false"/>
                <w:sz w:val="20"/>
                <w:szCs w:val="20"/>
              </w:rPr>
              <w:t xml:space="preserve">p = 0,80</w:t>
            </w:r>
          </w:p>
        </w:tc>
        <w:tc>
          <w:tcPr>
            <w:tcW w:type="dxa" w:w="1800"/>
            <w:tcMar>
              <w:top w:type="dxa" w:w="60"/>
              <w:left w:type="dxa" w:w="100"/>
              <w:bottom w:type="dxa" w:w="60"/>
              <w:right w:type="dxa" w:w="100"/>
            </w:tcMar>
          </w:tcPr>
          <w:p>
            <w:pPr>
              <w:spacing w:after="0"/>
            </w:pPr>
            <w:r>
              <w:rPr>
                <w:rFonts w:ascii="Arial" w:cs="Arial" w:eastAsia="Arial" w:hAnsi="Arial"/>
                <w:b w:val="false"/>
                <w:bCs w:val="false"/>
                <w:sz w:val="20"/>
                <w:szCs w:val="20"/>
              </w:rPr>
              <w:t xml:space="preserve">4,25</w:t>
            </w:r>
          </w:p>
        </w:tc>
        <w:tc>
          <w:tcPr>
            <w:tcW w:type="dxa" w:w="1800"/>
            <w:tcMar>
              <w:top w:type="dxa" w:w="60"/>
              <w:left w:type="dxa" w:w="100"/>
              <w:bottom w:type="dxa" w:w="60"/>
              <w:right w:type="dxa" w:w="100"/>
            </w:tcMar>
          </w:tcPr>
          <w:p>
            <w:pPr>
              <w:spacing w:after="0"/>
            </w:pPr>
            <w:r>
              <w:rPr>
                <w:rFonts w:ascii="Arial" w:cs="Arial" w:eastAsia="Arial" w:hAnsi="Arial"/>
                <w:b w:val="false"/>
                <w:bCs w:val="false"/>
                <w:sz w:val="20"/>
                <w:szCs w:val="20"/>
              </w:rPr>
              <w:t xml:space="preserve">4,78</w:t>
            </w:r>
          </w:p>
        </w:tc>
        <w:tc>
          <w:tcPr>
            <w:tcW w:type="dxa" w:w="1800"/>
            <w:tcMar>
              <w:top w:type="dxa" w:w="60"/>
              <w:left w:type="dxa" w:w="100"/>
              <w:bottom w:type="dxa" w:w="60"/>
              <w:right w:type="dxa" w:w="100"/>
            </w:tcMar>
          </w:tcPr>
          <w:p>
            <w:pPr>
              <w:spacing w:after="0"/>
            </w:pPr>
            <w:r>
              <w:rPr>
                <w:rFonts w:ascii="Arial" w:cs="Arial" w:eastAsia="Arial" w:hAnsi="Arial"/>
                <w:b w:val="false"/>
                <w:bCs w:val="false"/>
                <w:sz w:val="20"/>
                <w:szCs w:val="20"/>
              </w:rPr>
              <w:t xml:space="preserve">4,65</w:t>
            </w:r>
          </w:p>
        </w:tc>
      </w:tr>
      <w:tr>
        <w:tc>
          <w:tcPr>
            <w:tcW w:type="dxa" w:w="3960"/>
            <w:tcMar>
              <w:top w:type="dxa" w:w="60"/>
              <w:left w:type="dxa" w:w="100"/>
              <w:bottom w:type="dxa" w:w="60"/>
              <w:right w:type="dxa" w:w="100"/>
            </w:tcMar>
          </w:tcPr>
          <w:p>
            <w:pPr>
              <w:spacing w:after="0"/>
            </w:pPr>
            <w:r>
              <w:rPr>
                <w:rFonts w:ascii="Arial" w:cs="Arial" w:eastAsia="Arial" w:hAnsi="Arial"/>
                <w:b w:val="false"/>
                <w:bCs w:val="false"/>
                <w:sz w:val="20"/>
                <w:szCs w:val="20"/>
              </w:rPr>
              <w:t xml:space="preserve">p = 0,90</w:t>
            </w:r>
          </w:p>
        </w:tc>
        <w:tc>
          <w:tcPr>
            <w:tcW w:type="dxa" w:w="1800"/>
            <w:tcMar>
              <w:top w:type="dxa" w:w="60"/>
              <w:left w:type="dxa" w:w="100"/>
              <w:bottom w:type="dxa" w:w="60"/>
              <w:right w:type="dxa" w:w="100"/>
            </w:tcMar>
          </w:tcPr>
          <w:p>
            <w:pPr>
              <w:spacing w:after="0"/>
            </w:pPr>
            <w:r>
              <w:rPr>
                <w:rFonts w:ascii="Arial" w:cs="Arial" w:eastAsia="Arial" w:hAnsi="Arial"/>
                <w:b w:val="false"/>
                <w:bCs w:val="false"/>
                <w:sz w:val="20"/>
                <w:szCs w:val="20"/>
              </w:rPr>
              <w:t xml:space="preserve">2,06</w:t>
            </w:r>
          </w:p>
        </w:tc>
        <w:tc>
          <w:tcPr>
            <w:tcW w:type="dxa" w:w="1800"/>
            <w:tcMar>
              <w:top w:type="dxa" w:w="60"/>
              <w:left w:type="dxa" w:w="100"/>
              <w:bottom w:type="dxa" w:w="60"/>
              <w:right w:type="dxa" w:w="100"/>
            </w:tcMar>
          </w:tcPr>
          <w:p>
            <w:pPr>
              <w:spacing w:after="0"/>
            </w:pPr>
            <w:r>
              <w:rPr>
                <w:rFonts w:ascii="Arial" w:cs="Arial" w:eastAsia="Arial" w:hAnsi="Arial"/>
                <w:b w:val="false"/>
                <w:bCs w:val="false"/>
                <w:sz w:val="20"/>
                <w:szCs w:val="20"/>
              </w:rPr>
              <w:t xml:space="preserve">2,65</w:t>
            </w:r>
          </w:p>
        </w:tc>
        <w:tc>
          <w:tcPr>
            <w:tcW w:type="dxa" w:w="1800"/>
            <w:tcMar>
              <w:top w:type="dxa" w:w="60"/>
              <w:left w:type="dxa" w:w="100"/>
              <w:bottom w:type="dxa" w:w="60"/>
              <w:right w:type="dxa" w:w="100"/>
            </w:tcMar>
          </w:tcPr>
          <w:p>
            <w:pPr>
              <w:spacing w:after="0"/>
            </w:pPr>
            <w:r>
              <w:rPr>
                <w:rFonts w:ascii="Arial" w:cs="Arial" w:eastAsia="Arial" w:hAnsi="Arial"/>
                <w:b w:val="false"/>
                <w:bCs w:val="false"/>
                <w:sz w:val="20"/>
                <w:szCs w:val="20"/>
              </w:rPr>
              <w:t xml:space="preserve">2,77</w:t>
            </w:r>
          </w:p>
        </w:tc>
      </w:tr>
      <w:tr>
        <w:tc>
          <w:tcPr>
            <w:tcW w:type="dxa" w:w="3960"/>
            <w:tcMar>
              <w:top w:type="dxa" w:w="60"/>
              <w:left w:type="dxa" w:w="100"/>
              <w:bottom w:type="dxa" w:w="60"/>
              <w:right w:type="dxa" w:w="100"/>
            </w:tcMar>
          </w:tcPr>
          <w:p>
            <w:pPr>
              <w:spacing w:after="0"/>
            </w:pPr>
            <w:r>
              <w:rPr>
                <w:rFonts w:ascii="Arial" w:cs="Arial" w:eastAsia="Arial" w:hAnsi="Arial"/>
                <w:b w:val="false"/>
                <w:bCs w:val="false"/>
                <w:sz w:val="20"/>
                <w:szCs w:val="20"/>
              </w:rPr>
              <w:t xml:space="preserve">p = 0,95</w:t>
            </w:r>
          </w:p>
        </w:tc>
        <w:tc>
          <w:tcPr>
            <w:tcW w:type="dxa" w:w="1800"/>
            <w:tcMar>
              <w:top w:type="dxa" w:w="60"/>
              <w:left w:type="dxa" w:w="100"/>
              <w:bottom w:type="dxa" w:w="60"/>
              <w:right w:type="dxa" w:w="100"/>
            </w:tcMar>
          </w:tcPr>
          <w:p>
            <w:pPr>
              <w:spacing w:after="0"/>
            </w:pPr>
            <w:r>
              <w:rPr>
                <w:rFonts w:ascii="Arial" w:cs="Arial" w:eastAsia="Arial" w:hAnsi="Arial"/>
                <w:b w:val="false"/>
                <w:bCs w:val="false"/>
                <w:sz w:val="20"/>
                <w:szCs w:val="20"/>
              </w:rPr>
              <w:t xml:space="preserve">2,94</w:t>
            </w:r>
          </w:p>
        </w:tc>
        <w:tc>
          <w:tcPr>
            <w:tcW w:type="dxa" w:w="1800"/>
            <w:tcMar>
              <w:top w:type="dxa" w:w="60"/>
              <w:left w:type="dxa" w:w="100"/>
              <w:bottom w:type="dxa" w:w="60"/>
              <w:right w:type="dxa" w:w="100"/>
            </w:tcMar>
          </w:tcPr>
          <w:p>
            <w:pPr>
              <w:spacing w:after="0"/>
            </w:pPr>
            <w:r>
              <w:rPr>
                <w:rFonts w:ascii="Arial" w:cs="Arial" w:eastAsia="Arial" w:hAnsi="Arial"/>
                <w:b w:val="false"/>
                <w:bCs w:val="false"/>
                <w:sz w:val="20"/>
                <w:szCs w:val="20"/>
              </w:rPr>
              <w:t xml:space="preserve">2,35</w:t>
            </w:r>
          </w:p>
        </w:tc>
        <w:tc>
          <w:tcPr>
            <w:tcW w:type="dxa" w:w="1800"/>
            <w:tcMar>
              <w:top w:type="dxa" w:w="60"/>
              <w:left w:type="dxa" w:w="100"/>
              <w:bottom w:type="dxa" w:w="60"/>
              <w:right w:type="dxa" w:w="100"/>
            </w:tcMar>
          </w:tcPr>
          <w:p>
            <w:pPr>
              <w:spacing w:after="0"/>
            </w:pPr>
            <w:r>
              <w:rPr>
                <w:rFonts w:ascii="Arial" w:cs="Arial" w:eastAsia="Arial" w:hAnsi="Arial"/>
                <w:b w:val="false"/>
                <w:bCs w:val="false"/>
                <w:sz w:val="20"/>
                <w:szCs w:val="20"/>
              </w:rPr>
              <w:t xml:space="preserve">2,23</w:t>
            </w:r>
          </w:p>
        </w:tc>
      </w:tr>
      <w:tr>
        <w:tc>
          <w:tcPr>
            <w:tcW w:type="dxa" w:w="3960"/>
            <w:tcMar>
              <w:top w:type="dxa" w:w="60"/>
              <w:left w:type="dxa" w:w="100"/>
              <w:bottom w:type="dxa" w:w="60"/>
              <w:right w:type="dxa" w:w="100"/>
            </w:tcMar>
          </w:tcPr>
          <w:p>
            <w:pPr>
              <w:spacing w:after="0"/>
            </w:pPr>
            <w:r>
              <w:rPr>
                <w:rFonts w:ascii="Arial" w:cs="Arial" w:eastAsia="Arial" w:hAnsi="Arial"/>
                <w:b w:val="false"/>
                <w:bCs w:val="false"/>
                <w:sz w:val="20"/>
                <w:szCs w:val="20"/>
              </w:rPr>
              <w:t xml:space="preserve">Niveles ≤ 10 pp</w:t>
            </w:r>
          </w:p>
        </w:tc>
        <w:tc>
          <w:tcPr>
            <w:tcW w:type="dxa" w:w="1800"/>
            <w:tcMar>
              <w:top w:type="dxa" w:w="60"/>
              <w:left w:type="dxa" w:w="100"/>
              <w:bottom w:type="dxa" w:w="60"/>
              <w:right w:type="dxa" w:w="100"/>
            </w:tcMar>
          </w:tcPr>
          <w:p>
            <w:pPr>
              <w:spacing w:after="0"/>
            </w:pPr>
            <w:r>
              <w:rPr>
                <w:rFonts w:ascii="Arial" w:cs="Arial" w:eastAsia="Arial" w:hAnsi="Arial"/>
                <w:b w:val="false"/>
                <w:bCs w:val="false"/>
                <w:sz w:val="20"/>
                <w:szCs w:val="20"/>
              </w:rPr>
              <w:t xml:space="preserve">5/5</w:t>
            </w:r>
          </w:p>
        </w:tc>
        <w:tc>
          <w:tcPr>
            <w:tcW w:type="dxa" w:w="1800"/>
            <w:tcMar>
              <w:top w:type="dxa" w:w="60"/>
              <w:left w:type="dxa" w:w="100"/>
              <w:bottom w:type="dxa" w:w="60"/>
              <w:right w:type="dxa" w:w="100"/>
            </w:tcMar>
          </w:tcPr>
          <w:p>
            <w:pPr>
              <w:spacing w:after="0"/>
            </w:pPr>
            <w:r>
              <w:rPr>
                <w:rFonts w:ascii="Arial" w:cs="Arial" w:eastAsia="Arial" w:hAnsi="Arial"/>
                <w:b w:val="false"/>
                <w:bCs w:val="false"/>
                <w:sz w:val="20"/>
                <w:szCs w:val="20"/>
              </w:rPr>
              <w:t xml:space="preserve">5/5</w:t>
            </w:r>
          </w:p>
        </w:tc>
        <w:tc>
          <w:tcPr>
            <w:tcW w:type="dxa" w:w="1800"/>
            <w:tcMar>
              <w:top w:type="dxa" w:w="60"/>
              <w:left w:type="dxa" w:w="100"/>
              <w:bottom w:type="dxa" w:w="60"/>
              <w:right w:type="dxa" w:w="100"/>
            </w:tcMar>
          </w:tcPr>
          <w:p>
            <w:pPr>
              <w:spacing w:after="0"/>
            </w:pPr>
            <w:r>
              <w:rPr>
                <w:rFonts w:ascii="Arial" w:cs="Arial" w:eastAsia="Arial" w:hAnsi="Arial"/>
                <w:b w:val="false"/>
                <w:bCs w:val="false"/>
                <w:sz w:val="20"/>
                <w:szCs w:val="20"/>
              </w:rPr>
              <w:t xml:space="preserve">5/5</w:t>
            </w:r>
          </w:p>
        </w:tc>
      </w:tr>
      <w:tr>
        <w:tc>
          <w:tcPr>
            <w:tcW w:type="dxa" w:w="3960"/>
            <w:tcMar>
              <w:top w:type="dxa" w:w="60"/>
              <w:left w:type="dxa" w:w="100"/>
              <w:bottom w:type="dxa" w:w="60"/>
              <w:right w:type="dxa" w:w="100"/>
            </w:tcMar>
          </w:tcPr>
          <w:p>
            <w:pPr>
              <w:spacing w:after="0"/>
            </w:pPr>
            <w:r>
              <w:rPr>
                <w:rFonts w:ascii="Arial" w:cs="Arial" w:eastAsia="Arial" w:hAnsi="Arial"/>
                <w:b w:val="false"/>
                <w:bCs w:val="false"/>
                <w:sz w:val="20"/>
                <w:szCs w:val="20"/>
              </w:rPr>
              <w:t xml:space="preserve">Criterios C10.a–d</w:t>
            </w:r>
          </w:p>
        </w:tc>
        <w:tc>
          <w:tcPr>
            <w:tcW w:type="dxa" w:w="1800"/>
            <w:tcMar>
              <w:top w:type="dxa" w:w="60"/>
              <w:left w:type="dxa" w:w="100"/>
              <w:bottom w:type="dxa" w:w="60"/>
              <w:right w:type="dxa" w:w="100"/>
            </w:tcMar>
          </w:tcPr>
          <w:p>
            <w:pPr>
              <w:spacing w:after="0"/>
            </w:pPr>
            <w:r>
              <w:rPr>
                <w:rFonts w:ascii="Arial" w:cs="Arial" w:eastAsia="Arial" w:hAnsi="Arial"/>
                <w:b w:val="false"/>
                <w:bCs w:val="false"/>
                <w:sz w:val="20"/>
                <w:szCs w:val="20"/>
              </w:rPr>
              <w:t xml:space="preserve">4/4</w:t>
            </w:r>
          </w:p>
        </w:tc>
        <w:tc>
          <w:tcPr>
            <w:tcW w:type="dxa" w:w="1800"/>
            <w:tcMar>
              <w:top w:type="dxa" w:w="60"/>
              <w:left w:type="dxa" w:w="100"/>
              <w:bottom w:type="dxa" w:w="60"/>
              <w:right w:type="dxa" w:w="100"/>
            </w:tcMar>
          </w:tcPr>
          <w:p>
            <w:pPr>
              <w:spacing w:after="0"/>
            </w:pPr>
            <w:r>
              <w:rPr>
                <w:rFonts w:ascii="Arial" w:cs="Arial" w:eastAsia="Arial" w:hAnsi="Arial"/>
                <w:b w:val="false"/>
                <w:bCs w:val="false"/>
                <w:sz w:val="20"/>
                <w:szCs w:val="20"/>
              </w:rPr>
              <w:t xml:space="preserve">4/4</w:t>
            </w:r>
          </w:p>
        </w:tc>
        <w:tc>
          <w:tcPr>
            <w:tcW w:type="dxa" w:w="1800"/>
            <w:tcMar>
              <w:top w:type="dxa" w:w="60"/>
              <w:left w:type="dxa" w:w="100"/>
              <w:bottom w:type="dxa" w:w="60"/>
              <w:right w:type="dxa" w:w="100"/>
            </w:tcMar>
          </w:tcPr>
          <w:p>
            <w:pPr>
              <w:spacing w:after="0"/>
            </w:pPr>
            <w:r>
              <w:rPr>
                <w:rFonts w:ascii="Arial" w:cs="Arial" w:eastAsia="Arial" w:hAnsi="Arial"/>
                <w:b w:val="false"/>
                <w:bCs w:val="false"/>
                <w:sz w:val="20"/>
                <w:szCs w:val="20"/>
              </w:rPr>
              <w:t xml:space="preserve">4/4</w:t>
            </w:r>
          </w:p>
        </w:tc>
      </w:tr>
      <w:tr>
        <w:tc>
          <w:tcPr>
            <w:tcW w:type="dxa" w:w="3960"/>
            <w:tcMar>
              <w:top w:type="dxa" w:w="60"/>
              <w:left w:type="dxa" w:w="100"/>
              <w:bottom w:type="dxa" w:w="60"/>
              <w:right w:type="dxa" w:w="100"/>
            </w:tcMar>
          </w:tcPr>
          <w:p>
            <w:pPr>
              <w:spacing w:after="0"/>
            </w:pPr>
            <w:r>
              <w:rPr>
                <w:rFonts w:ascii="Arial" w:cs="Arial" w:eastAsia="Arial" w:hAnsi="Arial"/>
                <w:b w:val="false"/>
                <w:bCs w:val="false"/>
                <w:sz w:val="20"/>
                <w:szCs w:val="20"/>
              </w:rPr>
              <w:t xml:space="preserve">std entre splits (α = 0,50)</w:t>
            </w:r>
          </w:p>
        </w:tc>
        <w:tc>
          <w:tcPr>
            <w:tcW w:type="dxa" w:w="1800"/>
            <w:tcMar>
              <w:top w:type="dxa" w:w="60"/>
              <w:left w:type="dxa" w:w="100"/>
              <w:bottom w:type="dxa" w:w="60"/>
              <w:right w:type="dxa" w:w="100"/>
            </w:tcMar>
          </w:tcPr>
          <w:p>
            <w:pPr>
              <w:spacing w:after="0"/>
            </w:pPr>
            <w:r>
              <w:rPr>
                <w:rFonts w:ascii="Arial" w:cs="Arial" w:eastAsia="Arial" w:hAnsi="Arial"/>
                <w:b w:val="false"/>
                <w:bCs w:val="false"/>
                <w:sz w:val="20"/>
                <w:szCs w:val="20"/>
              </w:rPr>
              <w:t xml:space="preserve">0,48</w:t>
            </w:r>
          </w:p>
        </w:tc>
        <w:tc>
          <w:tcPr>
            <w:tcW w:type="dxa" w:w="1800"/>
            <w:tcMar>
              <w:top w:type="dxa" w:w="60"/>
              <w:left w:type="dxa" w:w="100"/>
              <w:bottom w:type="dxa" w:w="60"/>
              <w:right w:type="dxa" w:w="100"/>
            </w:tcMar>
          </w:tcPr>
          <w:p>
            <w:pPr>
              <w:spacing w:after="0"/>
            </w:pPr>
            <w:r>
              <w:rPr>
                <w:rFonts w:ascii="Arial" w:cs="Arial" w:eastAsia="Arial" w:hAnsi="Arial"/>
                <w:b w:val="false"/>
                <w:bCs w:val="false"/>
                <w:sz w:val="20"/>
                <w:szCs w:val="20"/>
              </w:rPr>
              <w:t xml:space="preserve">0,75</w:t>
            </w:r>
          </w:p>
        </w:tc>
        <w:tc>
          <w:tcPr>
            <w:tcW w:type="dxa" w:w="1800"/>
            <w:tcMar>
              <w:top w:type="dxa" w:w="60"/>
              <w:left w:type="dxa" w:w="100"/>
              <w:bottom w:type="dxa" w:w="60"/>
              <w:right w:type="dxa" w:w="100"/>
            </w:tcMar>
          </w:tcPr>
          <w:p>
            <w:pPr>
              <w:spacing w:after="0"/>
            </w:pPr>
            <w:r>
              <w:rPr>
                <w:rFonts w:ascii="Arial" w:cs="Arial" w:eastAsia="Arial" w:hAnsi="Arial"/>
                <w:b w:val="false"/>
                <w:bCs w:val="false"/>
                <w:sz w:val="20"/>
                <w:szCs w:val="20"/>
              </w:rPr>
              <w:t xml:space="preserve">1,03</w:t>
            </w:r>
          </w:p>
        </w:tc>
      </w:tr>
    </w:tbl>
    <w:p>
      <w:pPr>
        <w:spacing w:after="120"/>
        <w:jc w:val="both"/>
      </w:pPr>
      <w:r>
        <w:rPr>
          <w:rFonts w:ascii="Arial" w:cs="Arial" w:eastAsia="Arial" w:hAnsi="Arial"/>
          <w:sz w:val="22"/>
          <w:szCs w:val="22"/>
        </w:rPr>
        <w:t xml:space="preserve"/>
      </w:r>
    </w:p>
    <w:p>
      <w:pPr>
        <w:spacing w:after="120"/>
        <w:jc w:val="both"/>
      </w:pPr>
      <w:r>
        <w:rPr>
          <w:rFonts w:ascii="Arial" w:cs="Arial" w:eastAsia="Arial" w:hAnsi="Arial"/>
          <w:b/>
          <w:bCs/>
          <w:sz w:val="22"/>
          <w:szCs w:val="22"/>
        </w:rPr>
        <w:t xml:space="preserve">Tendencia C10.e: </w:t>
      </w:r>
      <w:r>
        <w:rPr>
          <w:rFonts w:ascii="Arial" w:cs="Arial" w:eastAsia="Arial" w:hAnsi="Arial"/>
          <w:sz w:val="22"/>
          <w:szCs w:val="22"/>
        </w:rPr>
        <w:t xml:space="preserve">el error central no crece con el escalamiento — baja suavemente de 4,25 a 4,02 pp — y ningún nivel se acerca al umbral de 10 pp. La única serie monótona al alza del experimento es la estabilidad entre splits: 0,48 → 0,75 → 1,03 pp, esto es, +0,27 y +0,28 pp por duplicación de N. Al ritmo observado en {50 → 200} — una extrapolación desde dos incrementos medidos, que se ofrece como marco de referencia y no como predicción — el umbral de 5 pp quedaría a unas catorce duplicaciones, es decir N del orden de millones, fuera de cualquier régimen operativo del programa.</w:t>
      </w:r>
    </w:p>
    <w:p>
      <w:pPr>
        <w:pStyle w:val="Heading2"/>
        <w:spacing w:after="140" w:before="220"/>
      </w:pPr>
      <w:r>
        <w:rPr>
          <w:rFonts w:ascii="Arial" w:cs="Arial" w:eastAsia="Arial" w:hAnsi="Arial"/>
          <w:b/>
          <w:bCs/>
          <w:sz w:val="24"/>
          <w:szCs w:val="24"/>
        </w:rPr>
        <w:t xml:space="preserve">4.2 Brazo de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rPr>
          <w:tblHeader/>
        </w:trPr>
        <w:tc>
          <w:tcPr>
            <w:tcW w:type="dxa" w:w="3960"/>
            <w:tcMar>
              <w:top w:type="dxa" w:w="60"/>
              <w:left w:type="dxa" w:w="100"/>
              <w:bottom w:type="dxa" w:w="60"/>
              <w:right w:type="dxa" w:w="100"/>
            </w:tcMar>
          </w:tcPr>
          <w:p>
            <w:pPr>
              <w:spacing w:after="0"/>
            </w:pPr>
            <w:r>
              <w:rPr>
                <w:rFonts w:ascii="Arial" w:cs="Arial" w:eastAsia="Arial" w:hAnsi="Arial"/>
                <w:b/>
                <w:bCs/>
                <w:sz w:val="20"/>
                <w:szCs w:val="20"/>
              </w:rPr>
              <w:t xml:space="preserve">Métrica</w:t>
            </w:r>
          </w:p>
        </w:tc>
        <w:tc>
          <w:tcPr>
            <w:tcW w:type="dxa" w:w="1800"/>
            <w:tcMar>
              <w:top w:type="dxa" w:w="60"/>
              <w:left w:type="dxa" w:w="100"/>
              <w:bottom w:type="dxa" w:w="60"/>
              <w:right w:type="dxa" w:w="100"/>
            </w:tcMar>
          </w:tcPr>
          <w:p>
            <w:pPr>
              <w:spacing w:after="0"/>
            </w:pPr>
            <w:r>
              <w:rPr>
                <w:rFonts w:ascii="Arial" w:cs="Arial" w:eastAsia="Arial" w:hAnsi="Arial"/>
                <w:b/>
                <w:bCs/>
                <w:sz w:val="20"/>
                <w:szCs w:val="20"/>
              </w:rPr>
              <w:t xml:space="preserve">N = 50</w:t>
            </w:r>
          </w:p>
        </w:tc>
        <w:tc>
          <w:tcPr>
            <w:tcW w:type="dxa" w:w="1800"/>
            <w:tcMar>
              <w:top w:type="dxa" w:w="60"/>
              <w:left w:type="dxa" w:w="100"/>
              <w:bottom w:type="dxa" w:w="60"/>
              <w:right w:type="dxa" w:w="100"/>
            </w:tcMar>
          </w:tcPr>
          <w:p>
            <w:pPr>
              <w:spacing w:after="0"/>
            </w:pPr>
            <w:r>
              <w:rPr>
                <w:rFonts w:ascii="Arial" w:cs="Arial" w:eastAsia="Arial" w:hAnsi="Arial"/>
                <w:b/>
                <w:bCs/>
                <w:sz w:val="20"/>
                <w:szCs w:val="20"/>
              </w:rPr>
              <w:t xml:space="preserve">N = 100</w:t>
            </w:r>
          </w:p>
        </w:tc>
        <w:tc>
          <w:tcPr>
            <w:tcW w:type="dxa" w:w="1800"/>
            <w:tcMar>
              <w:top w:type="dxa" w:w="60"/>
              <w:left w:type="dxa" w:w="100"/>
              <w:bottom w:type="dxa" w:w="60"/>
              <w:right w:type="dxa" w:w="100"/>
            </w:tcMar>
          </w:tcPr>
          <w:p>
            <w:pPr>
              <w:spacing w:after="0"/>
            </w:pPr>
            <w:r>
              <w:rPr>
                <w:rFonts w:ascii="Arial" w:cs="Arial" w:eastAsia="Arial" w:hAnsi="Arial"/>
                <w:b/>
                <w:bCs/>
                <w:sz w:val="20"/>
                <w:szCs w:val="20"/>
              </w:rPr>
              <w:t xml:space="preserve">N = 200</w:t>
            </w:r>
          </w:p>
        </w:tc>
      </w:tr>
      <w:tr>
        <w:tc>
          <w:tcPr>
            <w:tcW w:type="dxa" w:w="3960"/>
            <w:tcMar>
              <w:top w:type="dxa" w:w="60"/>
              <w:left w:type="dxa" w:w="100"/>
              <w:bottom w:type="dxa" w:w="60"/>
              <w:right w:type="dxa" w:w="100"/>
            </w:tcMar>
          </w:tcPr>
          <w:p>
            <w:pPr>
              <w:spacing w:after="0"/>
            </w:pPr>
            <w:r>
              <w:rPr>
                <w:rFonts w:ascii="Arial" w:cs="Arial" w:eastAsia="Arial" w:hAnsi="Arial"/>
                <w:b w:val="false"/>
                <w:bCs w:val="false"/>
                <w:sz w:val="20"/>
                <w:szCs w:val="20"/>
              </w:rPr>
              <w:t xml:space="preserve">ErrCal (α = 0,50)</w:t>
            </w:r>
          </w:p>
        </w:tc>
        <w:tc>
          <w:tcPr>
            <w:tcW w:type="dxa" w:w="1800"/>
            <w:tcMar>
              <w:top w:type="dxa" w:w="60"/>
              <w:left w:type="dxa" w:w="100"/>
              <w:bottom w:type="dxa" w:w="60"/>
              <w:right w:type="dxa" w:w="100"/>
            </w:tcMar>
          </w:tcPr>
          <w:p>
            <w:pPr>
              <w:spacing w:after="0"/>
            </w:pPr>
            <w:r>
              <w:rPr>
                <w:rFonts w:ascii="Arial" w:cs="Arial" w:eastAsia="Arial" w:hAnsi="Arial"/>
                <w:b w:val="false"/>
                <w:bCs w:val="false"/>
                <w:sz w:val="20"/>
                <w:szCs w:val="20"/>
              </w:rPr>
              <w:t xml:space="preserve">31,21</w:t>
            </w:r>
          </w:p>
        </w:tc>
        <w:tc>
          <w:tcPr>
            <w:tcW w:type="dxa" w:w="1800"/>
            <w:tcMar>
              <w:top w:type="dxa" w:w="60"/>
              <w:left w:type="dxa" w:w="100"/>
              <w:bottom w:type="dxa" w:w="60"/>
              <w:right w:type="dxa" w:w="100"/>
            </w:tcMar>
          </w:tcPr>
          <w:p>
            <w:pPr>
              <w:spacing w:after="0"/>
            </w:pPr>
            <w:r>
              <w:rPr>
                <w:rFonts w:ascii="Arial" w:cs="Arial" w:eastAsia="Arial" w:hAnsi="Arial"/>
                <w:b w:val="false"/>
                <w:bCs w:val="false"/>
                <w:sz w:val="20"/>
                <w:szCs w:val="20"/>
              </w:rPr>
              <w:t xml:space="preserve">32,95</w:t>
            </w:r>
          </w:p>
        </w:tc>
        <w:tc>
          <w:tcPr>
            <w:tcW w:type="dxa" w:w="1800"/>
            <w:tcMar>
              <w:top w:type="dxa" w:w="60"/>
              <w:left w:type="dxa" w:w="100"/>
              <w:bottom w:type="dxa" w:w="60"/>
              <w:right w:type="dxa" w:w="100"/>
            </w:tcMar>
          </w:tcPr>
          <w:p>
            <w:pPr>
              <w:spacing w:after="0"/>
            </w:pPr>
            <w:r>
              <w:rPr>
                <w:rFonts w:ascii="Arial" w:cs="Arial" w:eastAsia="Arial" w:hAnsi="Arial"/>
                <w:b w:val="false"/>
                <w:bCs w:val="false"/>
                <w:sz w:val="20"/>
                <w:szCs w:val="20"/>
              </w:rPr>
              <w:t xml:space="preserve">38,21</w:t>
            </w:r>
          </w:p>
        </w:tc>
      </w:tr>
      <w:tr>
        <w:tc>
          <w:tcPr>
            <w:tcW w:type="dxa" w:w="3960"/>
            <w:tcMar>
              <w:top w:type="dxa" w:w="60"/>
              <w:left w:type="dxa" w:w="100"/>
              <w:bottom w:type="dxa" w:w="60"/>
              <w:right w:type="dxa" w:w="100"/>
            </w:tcMar>
          </w:tcPr>
          <w:p>
            <w:pPr>
              <w:spacing w:after="0"/>
            </w:pPr>
            <w:r>
              <w:rPr>
                <w:rFonts w:ascii="Arial" w:cs="Arial" w:eastAsia="Arial" w:hAnsi="Arial"/>
                <w:b w:val="false"/>
                <w:bCs w:val="false"/>
                <w:sz w:val="20"/>
                <w:szCs w:val="20"/>
              </w:rPr>
              <w:t xml:space="preserve">ErrCal (p = 0,30)</w:t>
            </w:r>
          </w:p>
        </w:tc>
        <w:tc>
          <w:tcPr>
            <w:tcW w:type="dxa" w:w="1800"/>
            <w:tcMar>
              <w:top w:type="dxa" w:w="60"/>
              <w:left w:type="dxa" w:w="100"/>
              <w:bottom w:type="dxa" w:w="60"/>
              <w:right w:type="dxa" w:w="100"/>
            </w:tcMar>
          </w:tcPr>
          <w:p>
            <w:pPr>
              <w:spacing w:after="0"/>
            </w:pPr>
            <w:r>
              <w:rPr>
                <w:rFonts w:ascii="Arial" w:cs="Arial" w:eastAsia="Arial" w:hAnsi="Arial"/>
                <w:b w:val="false"/>
                <w:bCs w:val="false"/>
                <w:sz w:val="20"/>
                <w:szCs w:val="20"/>
              </w:rPr>
              <w:t xml:space="preserve">32,62</w:t>
            </w:r>
          </w:p>
        </w:tc>
        <w:tc>
          <w:tcPr>
            <w:tcW w:type="dxa" w:w="1800"/>
            <w:tcMar>
              <w:top w:type="dxa" w:w="60"/>
              <w:left w:type="dxa" w:w="100"/>
              <w:bottom w:type="dxa" w:w="60"/>
              <w:right w:type="dxa" w:w="100"/>
            </w:tcMar>
          </w:tcPr>
          <w:p>
            <w:pPr>
              <w:spacing w:after="0"/>
            </w:pPr>
            <w:r>
              <w:rPr>
                <w:rFonts w:ascii="Arial" w:cs="Arial" w:eastAsia="Arial" w:hAnsi="Arial"/>
                <w:b w:val="false"/>
                <w:bCs w:val="false"/>
                <w:sz w:val="20"/>
                <w:szCs w:val="20"/>
              </w:rPr>
              <w:t xml:space="preserve">35,86</w:t>
            </w:r>
          </w:p>
        </w:tc>
        <w:tc>
          <w:tcPr>
            <w:tcW w:type="dxa" w:w="1800"/>
            <w:tcMar>
              <w:top w:type="dxa" w:w="60"/>
              <w:left w:type="dxa" w:w="100"/>
              <w:bottom w:type="dxa" w:w="60"/>
              <w:right w:type="dxa" w:w="100"/>
            </w:tcMar>
          </w:tcPr>
          <w:p>
            <w:pPr>
              <w:spacing w:after="0"/>
            </w:pPr>
            <w:r>
              <w:rPr>
                <w:rFonts w:ascii="Arial" w:cs="Arial" w:eastAsia="Arial" w:hAnsi="Arial"/>
                <w:b w:val="false"/>
                <w:bCs w:val="false"/>
                <w:sz w:val="20"/>
                <w:szCs w:val="20"/>
              </w:rPr>
              <w:t xml:space="preserve">42,89</w:t>
            </w:r>
          </w:p>
        </w:tc>
      </w:tr>
      <w:tr>
        <w:tc>
          <w:tcPr>
            <w:tcW w:type="dxa" w:w="3960"/>
            <w:tcMar>
              <w:top w:type="dxa" w:w="60"/>
              <w:left w:type="dxa" w:w="100"/>
              <w:bottom w:type="dxa" w:w="60"/>
              <w:right w:type="dxa" w:w="100"/>
            </w:tcMar>
          </w:tcPr>
          <w:p>
            <w:pPr>
              <w:spacing w:after="0"/>
            </w:pPr>
            <w:r>
              <w:rPr>
                <w:rFonts w:ascii="Arial" w:cs="Arial" w:eastAsia="Arial" w:hAnsi="Arial"/>
                <w:b w:val="false"/>
                <w:bCs w:val="false"/>
                <w:sz w:val="20"/>
                <w:szCs w:val="20"/>
              </w:rPr>
              <w:t xml:space="preserve">Niveles ≤ 10 pp</w:t>
            </w:r>
          </w:p>
        </w:tc>
        <w:tc>
          <w:tcPr>
            <w:tcW w:type="dxa" w:w="1800"/>
            <w:tcMar>
              <w:top w:type="dxa" w:w="60"/>
              <w:left w:type="dxa" w:w="100"/>
              <w:bottom w:type="dxa" w:w="60"/>
              <w:right w:type="dxa" w:w="100"/>
            </w:tcMar>
          </w:tcPr>
          <w:p>
            <w:pPr>
              <w:spacing w:after="0"/>
            </w:pPr>
            <w:r>
              <w:rPr>
                <w:rFonts w:ascii="Arial" w:cs="Arial" w:eastAsia="Arial" w:hAnsi="Arial"/>
                <w:b w:val="false"/>
                <w:bCs w:val="false"/>
                <w:sz w:val="20"/>
                <w:szCs w:val="20"/>
              </w:rPr>
              <w:t xml:space="preserve">2/5</w:t>
            </w:r>
          </w:p>
        </w:tc>
        <w:tc>
          <w:tcPr>
            <w:tcW w:type="dxa" w:w="1800"/>
            <w:tcMar>
              <w:top w:type="dxa" w:w="60"/>
              <w:left w:type="dxa" w:w="100"/>
              <w:bottom w:type="dxa" w:w="60"/>
              <w:right w:type="dxa" w:w="100"/>
            </w:tcMar>
          </w:tcPr>
          <w:p>
            <w:pPr>
              <w:spacing w:after="0"/>
            </w:pPr>
            <w:r>
              <w:rPr>
                <w:rFonts w:ascii="Arial" w:cs="Arial" w:eastAsia="Arial" w:hAnsi="Arial"/>
                <w:b w:val="false"/>
                <w:bCs w:val="false"/>
                <w:sz w:val="20"/>
                <w:szCs w:val="20"/>
              </w:rPr>
              <w:t xml:space="preserve">2/5</w:t>
            </w:r>
          </w:p>
        </w:tc>
        <w:tc>
          <w:tcPr>
            <w:tcW w:type="dxa" w:w="1800"/>
            <w:tcMar>
              <w:top w:type="dxa" w:w="60"/>
              <w:left w:type="dxa" w:w="100"/>
              <w:bottom w:type="dxa" w:w="60"/>
              <w:right w:type="dxa" w:w="100"/>
            </w:tcMar>
          </w:tcPr>
          <w:p>
            <w:pPr>
              <w:spacing w:after="0"/>
            </w:pPr>
            <w:r>
              <w:rPr>
                <w:rFonts w:ascii="Arial" w:cs="Arial" w:eastAsia="Arial" w:hAnsi="Arial"/>
                <w:b w:val="false"/>
                <w:bCs w:val="false"/>
                <w:sz w:val="20"/>
                <w:szCs w:val="20"/>
              </w:rPr>
              <w:t xml:space="preserve">2/5</w:t>
            </w:r>
          </w:p>
        </w:tc>
      </w:tr>
      <w:tr>
        <w:tc>
          <w:tcPr>
            <w:tcW w:type="dxa" w:w="3960"/>
            <w:tcMar>
              <w:top w:type="dxa" w:w="60"/>
              <w:left w:type="dxa" w:w="100"/>
              <w:bottom w:type="dxa" w:w="60"/>
              <w:right w:type="dxa" w:w="100"/>
            </w:tcMar>
          </w:tcPr>
          <w:p>
            <w:pPr>
              <w:spacing w:after="0"/>
            </w:pPr>
            <w:r>
              <w:rPr>
                <w:rFonts w:ascii="Arial" w:cs="Arial" w:eastAsia="Arial" w:hAnsi="Arial"/>
                <w:b w:val="false"/>
                <w:bCs w:val="false"/>
                <w:sz w:val="20"/>
                <w:szCs w:val="20"/>
              </w:rPr>
              <w:t xml:space="preserve">Cov(0,90) / Cov(0,95)</w:t>
            </w:r>
          </w:p>
        </w:tc>
        <w:tc>
          <w:tcPr>
            <w:tcW w:type="dxa" w:w="1800"/>
            <w:tcMar>
              <w:top w:type="dxa" w:w="60"/>
              <w:left w:type="dxa" w:w="100"/>
              <w:bottom w:type="dxa" w:w="60"/>
              <w:right w:type="dxa" w:w="100"/>
            </w:tcMar>
          </w:tcPr>
          <w:p>
            <w:pPr>
              <w:spacing w:after="0"/>
            </w:pPr>
            <w:r>
              <w:rPr>
                <w:rFonts w:ascii="Arial" w:cs="Arial" w:eastAsia="Arial" w:hAnsi="Arial"/>
                <w:b w:val="false"/>
                <w:bCs w:val="false"/>
                <w:sz w:val="20"/>
                <w:szCs w:val="20"/>
              </w:rPr>
              <w:t xml:space="preserve">98,71 / 99,33</w:t>
            </w:r>
          </w:p>
        </w:tc>
        <w:tc>
          <w:tcPr>
            <w:tcW w:type="dxa" w:w="1800"/>
            <w:tcMar>
              <w:top w:type="dxa" w:w="60"/>
              <w:left w:type="dxa" w:w="100"/>
              <w:bottom w:type="dxa" w:w="60"/>
              <w:right w:type="dxa" w:w="100"/>
            </w:tcMar>
          </w:tcPr>
          <w:p>
            <w:pPr>
              <w:spacing w:after="0"/>
            </w:pPr>
            <w:r>
              <w:rPr>
                <w:rFonts w:ascii="Arial" w:cs="Arial" w:eastAsia="Arial" w:hAnsi="Arial"/>
                <w:b w:val="false"/>
                <w:bCs w:val="false"/>
                <w:sz w:val="20"/>
                <w:szCs w:val="20"/>
              </w:rPr>
              <w:t xml:space="preserve">98,51 / 99,23</w:t>
            </w:r>
          </w:p>
        </w:tc>
        <w:tc>
          <w:tcPr>
            <w:tcW w:type="dxa" w:w="1800"/>
            <w:tcMar>
              <w:top w:type="dxa" w:w="60"/>
              <w:left w:type="dxa" w:w="100"/>
              <w:bottom w:type="dxa" w:w="60"/>
              <w:right w:type="dxa" w:w="100"/>
            </w:tcMar>
          </w:tcPr>
          <w:p>
            <w:pPr>
              <w:spacing w:after="0"/>
            </w:pPr>
            <w:r>
              <w:rPr>
                <w:rFonts w:ascii="Arial" w:cs="Arial" w:eastAsia="Arial" w:hAnsi="Arial"/>
                <w:b w:val="false"/>
                <w:bCs w:val="false"/>
                <w:sz w:val="20"/>
                <w:szCs w:val="20"/>
              </w:rPr>
              <w:t xml:space="preserve">98,48 / 99,34</w:t>
            </w:r>
          </w:p>
        </w:tc>
      </w:tr>
    </w:tbl>
    <w:p>
      <w:pPr>
        <w:spacing w:after="120"/>
        <w:jc w:val="both"/>
      </w:pPr>
      <w:r>
        <w:rPr>
          <w:rFonts w:ascii="Arial" w:cs="Arial" w:eastAsia="Arial" w:hAnsi="Arial"/>
          <w:sz w:val="22"/>
          <w:szCs w:val="22"/>
        </w:rPr>
        <w:t xml:space="preserve"/>
      </w:r>
    </w:p>
    <w:p>
      <w:pPr>
        <w:spacing w:after="120"/>
        <w:jc w:val="both"/>
      </w:pPr>
      <w:r>
        <w:rPr>
          <w:rFonts w:ascii="Arial" w:cs="Arial" w:eastAsia="Arial" w:hAnsi="Arial"/>
          <w:sz w:val="22"/>
          <w:szCs w:val="22"/>
        </w:rPr>
        <w:t xml:space="preserve">El control falla en los tres N (quinta, sexta y séptima replicación consecutiva del control negativo), y falla más al escalar: su ErrCal en p = 0,30 sube de 32,62 a 42,89 pp mientras el principal permanece plano. El contraste entre brazos se agudiza con N — la versión más fuerte del control negativo.</w:t>
      </w:r>
    </w:p>
    <w:p>
      <w:pPr>
        <w:spacing w:after="120"/>
        <w:jc w:val="both"/>
      </w:pPr>
      <w:r>
        <w:rPr>
          <w:rFonts w:ascii="Arial" w:cs="Arial" w:eastAsia="Arial" w:hAnsi="Arial"/>
          <w:b/>
          <w:bCs/>
          <w:sz w:val="22"/>
          <w:szCs w:val="22"/>
        </w:rPr>
        <w:t xml:space="preserve">Hipótesis registrada (no confirmada) para ese empeoramiento: </w:t>
      </w:r>
      <w:r>
        <w:rPr>
          <w:rFonts w:ascii="Arial" w:cs="Arial" w:eastAsia="Arial" w:hAnsi="Arial"/>
          <w:sz w:val="22"/>
          <w:szCs w:val="22"/>
        </w:rPr>
        <w:t xml:space="preserve">los ground truths (ε_real = 10⁻⁶) viven en el núcleo denso de la nube del ensemble (ε_pred = 10⁻⁴); al crecer N, el núcleo se densifica más rápido que las colas, de modo que las puntuaciones de los ground truths caen más rápido que los percentiles calculados sobre el propio ensemble, produciendo sobre-cobertura creciente. Es verificable con la table_long.csv existente sin recomputar nada; queda como candidata de verificación para v7.7-b.</w:t>
      </w:r>
    </w:p>
    <w:p>
      <w:pPr>
        <w:pStyle w:val="Heading1"/>
        <w:spacing w:after="160" w:before="280"/>
      </w:pPr>
      <w:r>
        <w:rPr>
          <w:rFonts w:ascii="Arial" w:cs="Arial" w:eastAsia="Arial" w:hAnsi="Arial"/>
          <w:b/>
          <w:bCs/>
          <w:sz w:val="28"/>
          <w:szCs w:val="28"/>
        </w:rPr>
        <w:t xml:space="preserve">5. Resultados por Subset: Robustez del Score y de la Geometría</w:t>
      </w:r>
    </w:p>
    <w:p>
      <w:pPr>
        <w:spacing w:after="120"/>
        <w:jc w:val="both"/>
      </w:pPr>
      <w:r>
        <w:rPr>
          <w:rFonts w:ascii="Arial" w:cs="Arial" w:eastAsia="Arial" w:hAnsi="Arial"/>
          <w:sz w:val="22"/>
          <w:szCs w:val="22"/>
        </w:rPr>
        <w:t xml:space="preserve">El error de calibración central por subset no muestra gradiente entre in-distribution y OOD: en α = 0,50, el OOD lejano calibra a la par o mejor que in-distribution en los tres N (3,4 / 3,1 / 4,3 pp frente a 5,1 / 5,6 / 3,4 pp).</w:t>
      </w:r>
    </w:p>
    <w:p>
      <w:pPr>
        <w:spacing w:after="120"/>
        <w:jc w:val="both"/>
      </w:pPr>
      <w:r>
        <w:rPr>
          <w:rFonts w:ascii="Arial" w:cs="Arial" w:eastAsia="Arial" w:hAnsi="Arial"/>
          <w:b/>
          <w:bCs/>
          <w:sz w:val="22"/>
          <w:szCs w:val="22"/>
        </w:rPr>
        <w:t xml:space="preserve">Qué afirma y qué no afirma este resultado: </w:t>
      </w:r>
      <w:r>
        <w:rPr>
          <w:rFonts w:ascii="Arial" w:cs="Arial" w:eastAsia="Arial" w:hAnsi="Arial"/>
          <w:sz w:val="22"/>
          <w:szCs w:val="22"/>
        </w:rPr>
        <w:t xml:space="preserve">no se presenta como generalización fuera de distribución. Como el método calibra por configuración con réplicas propias, la garantía conformal opera dentro de cada configuración y no hay desplazamiento de distribución que atravesar; la cobertura pareja entre subsets está en buena parte asegurada por construcción, y la cobertura conformal fuera del dominio de entrenamiento ya fue demostrada en otros contextos (ver LIT-00, § 4.2). Lo que sí quedaba por demostrar — y es lo que este resultado establece — es que el score geométrico kNN sobre PCA y la maquinaria asociada (dimensión efectiva, proxy de tamaño) siguen ordenando sensatamente en los regímenes extremos del subset lejano: separatrices, encuentros violentos, escapes tempranos, masas extremas. Podían volverse patológicos ahí y no lo hicieron. El contenido del hallazgo es robustez del score y de la geometría en regímenes extremos.</w:t>
      </w:r>
    </w:p>
    <w:p>
      <w:pPr>
        <w:pStyle w:val="Heading1"/>
        <w:spacing w:after="160" w:before="280"/>
      </w:pPr>
      <w:r>
        <w:rPr>
          <w:rFonts w:ascii="Arial" w:cs="Arial" w:eastAsia="Arial" w:hAnsi="Arial"/>
          <w:b/>
          <w:bCs/>
          <w:sz w:val="28"/>
          <w:szCs w:val="28"/>
        </w:rPr>
        <w:t xml:space="preserve">6. La Limitación Conocida y sus Predicciones (NT-01)</w:t>
      </w:r>
    </w:p>
    <w:p>
      <w:pPr>
        <w:spacing w:after="120"/>
        <w:jc w:val="both"/>
      </w:pPr>
      <w:r>
        <w:rPr>
          <w:rFonts w:ascii="Arial" w:cs="Arial" w:eastAsia="Arial" w:hAnsi="Arial"/>
          <w:sz w:val="22"/>
          <w:szCs w:val="22"/>
        </w:rPr>
        <w:t xml:space="preserve">La Nota Técnica NT-01 (rev. 3) documenta el colapso de los niveles nominales 0,90 y 0,95 al mismo umbral conformal en el brazo principal (n_calib = 12 fijo) y su corrección conceptual: 12/13 = 92,31 % es el valor esperado de cobertura del estadístico de orden máximo, no un techo duro. Este experimento cerró sus tres predicciones registradas:</w:t>
      </w:r>
    </w:p>
    <w:p>
      <w:pPr>
        <w:pStyle w:val="ListParagraph"/>
        <w:numPr>
          <w:ilvl w:val="0"/>
          <w:numId w:val="2"/>
        </w:numPr>
        <w:spacing w:after="100"/>
        <w:jc w:val="both"/>
      </w:pPr>
      <w:r>
        <w:rPr>
          <w:rFonts w:ascii="Arial" w:cs="Arial" w:eastAsia="Arial" w:hAnsi="Arial"/>
          <w:b/>
          <w:bCs/>
          <w:sz w:val="22"/>
          <w:szCs w:val="22"/>
        </w:rPr>
        <w:t xml:space="preserve">Predicción central, 3/3: </w:t>
      </w:r>
      <w:r>
        <w:rPr>
          <w:rFonts w:ascii="Arial" w:cs="Arial" w:eastAsia="Arial" w:hAnsi="Arial"/>
          <w:sz w:val="22"/>
          <w:szCs w:val="22"/>
        </w:rPr>
        <w:t xml:space="preserve">Cov(0,90) y Cov(0,95) resultaron idénticas en los tres N — 92,06 % (N = 50), 92,65 % (N = 100) y 92,77 % (N = 200) — con las tres realizaciones fluctuando alrededor del valor esperado (una por debajo, dos por encima, lo que descarta empíricamente la lectura de techo).</w:t>
      </w:r>
    </w:p>
    <w:p>
      <w:pPr>
        <w:pStyle w:val="ListParagraph"/>
        <w:numPr>
          <w:ilvl w:val="0"/>
          <w:numId w:val="2"/>
        </w:numPr>
        <w:spacing w:after="100"/>
        <w:jc w:val="both"/>
      </w:pPr>
      <w:r>
        <w:rPr>
          <w:rFonts w:ascii="Arial" w:cs="Arial" w:eastAsia="Arial" w:hAnsi="Arial"/>
          <w:b/>
          <w:bCs/>
          <w:sz w:val="22"/>
          <w:szCs w:val="22"/>
        </w:rPr>
        <w:t xml:space="preserve">Contraste del control, 3/3: </w:t>
      </w:r>
      <w:r>
        <w:rPr>
          <w:rFonts w:ascii="Arial" w:cs="Arial" w:eastAsia="Arial" w:hAnsi="Arial"/>
          <w:sz w:val="22"/>
          <w:szCs w:val="22"/>
        </w:rPr>
        <w:t xml:space="preserve">sus coberturas 0,90/0,95 permanecieron separadas en los tres N, como exige su calibración contra n = N puntos.</w:t>
      </w:r>
    </w:p>
    <w:p>
      <w:pPr>
        <w:pStyle w:val="ListParagraph"/>
        <w:numPr>
          <w:ilvl w:val="0"/>
          <w:numId w:val="2"/>
        </w:numPr>
        <w:spacing w:after="100"/>
        <w:jc w:val="both"/>
      </w:pPr>
      <w:r>
        <w:rPr>
          <w:rFonts w:ascii="Arial" w:cs="Arial" w:eastAsia="Arial" w:hAnsi="Arial"/>
          <w:b/>
          <w:bCs/>
          <w:sz w:val="22"/>
          <w:szCs w:val="22"/>
        </w:rPr>
        <w:t xml:space="preserve">Observación exploratoria: </w:t>
      </w:r>
      <w:r>
        <w:rPr>
          <w:rFonts w:ascii="Arial" w:cs="Arial" w:eastAsia="Arial" w:hAnsi="Arial"/>
          <w:sz w:val="22"/>
          <w:szCs w:val="22"/>
        </w:rPr>
        <w:t xml:space="preserve">la brecha del control se ensanchó monótonamente (0,62 → 0,73 → 0,86 pp), tres observaciones contra la intuición de estrechamiento que la revisión 2 de la nota retiró de las predicciones registradas.</w:t>
      </w:r>
    </w:p>
    <w:p>
      <w:pPr>
        <w:pStyle w:val="Heading1"/>
        <w:spacing w:after="160" w:before="280"/>
      </w:pPr>
      <w:r>
        <w:rPr>
          <w:rFonts w:ascii="Arial" w:cs="Arial" w:eastAsia="Arial" w:hAnsi="Arial"/>
          <w:b/>
          <w:bCs/>
          <w:sz w:val="28"/>
          <w:szCs w:val="28"/>
        </w:rPr>
        <w:t xml:space="preserve">7. Costo Computacional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560"/>
        <w:gridCol w:w="3400"/>
      </w:tblGrid>
      <w:tr>
        <w:trPr>
          <w:tblHeader/>
        </w:trPr>
        <w:tc>
          <w:tcPr>
            <w:tcW w:type="dxa" w:w="1900"/>
            <w:tcMar>
              <w:top w:type="dxa" w:w="60"/>
              <w:left w:type="dxa" w:w="100"/>
              <w:bottom w:type="dxa" w:w="60"/>
              <w:right w:type="dxa" w:w="100"/>
            </w:tcMar>
          </w:tcPr>
          <w:p>
            <w:pPr>
              <w:spacing w:after="0"/>
            </w:pPr>
            <w:r>
              <w:rPr>
                <w:rFonts w:ascii="Arial" w:cs="Arial" w:eastAsia="Arial" w:hAnsi="Arial"/>
                <w:b/>
                <w:bCs/>
                <w:sz w:val="20"/>
                <w:szCs w:val="20"/>
              </w:rPr>
              <w:t xml:space="preserve">Stage</w:t>
            </w:r>
          </w:p>
        </w:tc>
        <w:tc>
          <w:tcPr>
            <w:tcW w:type="dxa" w:w="1500"/>
            <w:tcMar>
              <w:top w:type="dxa" w:w="60"/>
              <w:left w:type="dxa" w:w="100"/>
              <w:bottom w:type="dxa" w:w="60"/>
              <w:right w:type="dxa" w:w="100"/>
            </w:tcMar>
          </w:tcPr>
          <w:p>
            <w:pPr>
              <w:spacing w:after="0"/>
            </w:pPr>
            <w:r>
              <w:rPr>
                <w:rFonts w:ascii="Arial" w:cs="Arial" w:eastAsia="Arial" w:hAnsi="Arial"/>
                <w:b/>
                <w:bCs/>
                <w:sz w:val="20"/>
                <w:szCs w:val="20"/>
              </w:rPr>
              <w:t xml:space="preserve">Runner</w:t>
            </w:r>
          </w:p>
        </w:tc>
        <w:tc>
          <w:tcPr>
            <w:tcW w:type="dxa" w:w="2560"/>
            <w:tcMar>
              <w:top w:type="dxa" w:w="60"/>
              <w:left w:type="dxa" w:w="100"/>
              <w:bottom w:type="dxa" w:w="60"/>
              <w:right w:type="dxa" w:w="100"/>
            </w:tcMar>
          </w:tcPr>
          <w:p>
            <w:pPr>
              <w:spacing w:after="0"/>
            </w:pPr>
            <w:r>
              <w:rPr>
                <w:rFonts w:ascii="Arial" w:cs="Arial" w:eastAsia="Arial" w:hAnsi="Arial"/>
                <w:b/>
                <w:bCs/>
                <w:sz w:val="20"/>
                <w:szCs w:val="20"/>
              </w:rPr>
              <w:t xml:space="preserve">Cómputo (cronómetro interno)</w:t>
            </w:r>
          </w:p>
        </w:tc>
        <w:tc>
          <w:tcPr>
            <w:tcW w:type="dxa" w:w="3400"/>
            <w:tcMar>
              <w:top w:type="dxa" w:w="60"/>
              <w:left w:type="dxa" w:w="100"/>
              <w:bottom w:type="dxa" w:w="60"/>
              <w:right w:type="dxa" w:w="100"/>
            </w:tcMar>
          </w:tcPr>
          <w:p>
            <w:pPr>
              <w:spacing w:after="0"/>
            </w:pPr>
            <w:r>
              <w:rPr>
                <w:rFonts w:ascii="Arial" w:cs="Arial" w:eastAsia="Arial" w:hAnsi="Arial"/>
                <w:b/>
                <w:bCs/>
                <w:sz w:val="20"/>
                <w:szCs w:val="20"/>
              </w:rPr>
              <w:t xml:space="preserve">Notas</w:t>
            </w:r>
          </w:p>
        </w:tc>
      </w:tr>
      <w:tr>
        <w:tc>
          <w:tcPr>
            <w:tcW w:type="dxa" w:w="1900"/>
            <w:tcMar>
              <w:top w:type="dxa" w:w="60"/>
              <w:left w:type="dxa" w:w="100"/>
              <w:bottom w:type="dxa" w:w="60"/>
              <w:right w:type="dxa" w:w="100"/>
            </w:tcMar>
          </w:tcPr>
          <w:p>
            <w:pPr>
              <w:spacing w:after="0"/>
            </w:pPr>
            <w:r>
              <w:rPr>
                <w:rFonts w:ascii="Arial" w:cs="Arial" w:eastAsia="Arial" w:hAnsi="Arial"/>
                <w:b w:val="false"/>
                <w:bCs w:val="false"/>
                <w:sz w:val="20"/>
                <w:szCs w:val="20"/>
              </w:rPr>
              <w:t xml:space="preserve">Stage 1 (N = 50)</w:t>
            </w:r>
          </w:p>
        </w:tc>
        <w:tc>
          <w:tcPr>
            <w:tcW w:type="dxa" w:w="1500"/>
            <w:tcMar>
              <w:top w:type="dxa" w:w="60"/>
              <w:left w:type="dxa" w:w="100"/>
              <w:bottom w:type="dxa" w:w="60"/>
              <w:right w:type="dxa" w:w="100"/>
            </w:tcMar>
          </w:tcPr>
          <w:p>
            <w:pPr>
              <w:spacing w:after="0"/>
            </w:pPr>
            <w:r>
              <w:rPr>
                <w:rFonts w:ascii="Arial" w:cs="Arial" w:eastAsia="Arial" w:hAnsi="Arial"/>
                <w:b w:val="false"/>
                <w:bCs w:val="false"/>
                <w:sz w:val="20"/>
                <w:szCs w:val="20"/>
              </w:rPr>
              <w:t xml:space="preserve">Original</w:t>
            </w:r>
          </w:p>
        </w:tc>
        <w:tc>
          <w:tcPr>
            <w:tcW w:type="dxa" w:w="2560"/>
            <w:tcMar>
              <w:top w:type="dxa" w:w="60"/>
              <w:left w:type="dxa" w:w="100"/>
              <w:bottom w:type="dxa" w:w="60"/>
              <w:right w:type="dxa" w:w="100"/>
            </w:tcMar>
          </w:tcPr>
          <w:p>
            <w:pPr>
              <w:spacing w:after="0"/>
            </w:pPr>
            <w:r>
              <w:rPr>
                <w:rFonts w:ascii="Arial" w:cs="Arial" w:eastAsia="Arial" w:hAnsi="Arial"/>
                <w:b w:val="false"/>
                <w:bCs w:val="false"/>
                <w:sz w:val="20"/>
                <w:szCs w:val="20"/>
              </w:rPr>
              <w:t xml:space="preserve">393,5 min (6,56 h)</w:t>
            </w:r>
          </w:p>
        </w:tc>
        <w:tc>
          <w:tcPr>
            <w:tcW w:type="dxa" w:w="3400"/>
            <w:tcMar>
              <w:top w:type="dxa" w:w="60"/>
              <w:left w:type="dxa" w:w="100"/>
              <w:bottom w:type="dxa" w:w="60"/>
              <w:right w:type="dxa" w:w="100"/>
            </w:tcMar>
          </w:tcPr>
          <w:p>
            <w:pPr>
              <w:spacing w:after="0"/>
            </w:pPr>
            <w:r>
              <w:rPr>
                <w:rFonts w:ascii="Arial" w:cs="Arial" w:eastAsia="Arial" w:hAnsi="Arial"/>
                <w:b w:val="false"/>
                <w:bCs w:val="false"/>
                <w:sz w:val="20"/>
                <w:szCs w:val="20"/>
              </w:rPr>
              <w:t xml:space="preserve">Corrido dos veces; determinismo verificado dígito a dígito; sin desglose por config</w:t>
            </w:r>
          </w:p>
        </w:tc>
      </w:tr>
      <w:tr>
        <w:tc>
          <w:tcPr>
            <w:tcW w:type="dxa" w:w="1900"/>
            <w:tcMar>
              <w:top w:type="dxa" w:w="60"/>
              <w:left w:type="dxa" w:w="100"/>
              <w:bottom w:type="dxa" w:w="60"/>
              <w:right w:type="dxa" w:w="100"/>
            </w:tcMar>
          </w:tcPr>
          <w:p>
            <w:pPr>
              <w:spacing w:after="0"/>
            </w:pPr>
            <w:r>
              <w:rPr>
                <w:rFonts w:ascii="Arial" w:cs="Arial" w:eastAsia="Arial" w:hAnsi="Arial"/>
                <w:b w:val="false"/>
                <w:bCs w:val="false"/>
                <w:sz w:val="20"/>
                <w:szCs w:val="20"/>
              </w:rPr>
              <w:t xml:space="preserve">Stage 2 (N = 100)</w:t>
            </w:r>
          </w:p>
        </w:tc>
        <w:tc>
          <w:tcPr>
            <w:tcW w:type="dxa" w:w="1500"/>
            <w:tcMar>
              <w:top w:type="dxa" w:w="60"/>
              <w:left w:type="dxa" w:w="100"/>
              <w:bottom w:type="dxa" w:w="60"/>
              <w:right w:type="dxa" w:w="100"/>
            </w:tcMar>
          </w:tcPr>
          <w:p>
            <w:pPr>
              <w:spacing w:after="0"/>
            </w:pPr>
            <w:r>
              <w:rPr>
                <w:rFonts w:ascii="Arial" w:cs="Arial" w:eastAsia="Arial" w:hAnsi="Arial"/>
                <w:b w:val="false"/>
                <w:bCs w:val="false"/>
                <w:sz w:val="20"/>
                <w:szCs w:val="20"/>
              </w:rPr>
              <w:t xml:space="preserve">Checkpoints</w:t>
            </w:r>
          </w:p>
        </w:tc>
        <w:tc>
          <w:tcPr>
            <w:tcW w:type="dxa" w:w="2560"/>
            <w:tcMar>
              <w:top w:type="dxa" w:w="60"/>
              <w:left w:type="dxa" w:w="100"/>
              <w:bottom w:type="dxa" w:w="60"/>
              <w:right w:type="dxa" w:w="100"/>
            </w:tcMar>
          </w:tcPr>
          <w:p>
            <w:pPr>
              <w:spacing w:after="0"/>
            </w:pPr>
            <w:r>
              <w:rPr>
                <w:rFonts w:ascii="Arial" w:cs="Arial" w:eastAsia="Arial" w:hAnsi="Arial"/>
                <w:b w:val="false"/>
                <w:bCs w:val="false"/>
                <w:sz w:val="20"/>
                <w:szCs w:val="20"/>
              </w:rPr>
              <w:t xml:space="preserve">963,1 min (16,05 h)</w:t>
            </w:r>
          </w:p>
        </w:tc>
        <w:tc>
          <w:tcPr>
            <w:tcW w:type="dxa" w:w="3400"/>
            <w:tcMar>
              <w:top w:type="dxa" w:w="60"/>
              <w:left w:type="dxa" w:w="100"/>
              <w:bottom w:type="dxa" w:w="60"/>
              <w:right w:type="dxa" w:w="100"/>
            </w:tcMar>
          </w:tcPr>
          <w:p>
            <w:pPr>
              <w:spacing w:after="0"/>
            </w:pPr>
            <w:r>
              <w:rPr>
                <w:rFonts w:ascii="Arial" w:cs="Arial" w:eastAsia="Arial" w:hAnsi="Arial"/>
                <w:b w:val="false"/>
                <w:bCs w:val="false"/>
                <w:sz w:val="20"/>
                <w:szCs w:val="20"/>
              </w:rPr>
              <w:t xml:space="preserve">Suma por config del CSV reproduce el agregado exactamente</w:t>
            </w:r>
          </w:p>
        </w:tc>
      </w:tr>
      <w:tr>
        <w:tc>
          <w:tcPr>
            <w:tcW w:type="dxa" w:w="1900"/>
            <w:tcMar>
              <w:top w:type="dxa" w:w="60"/>
              <w:left w:type="dxa" w:w="100"/>
              <w:bottom w:type="dxa" w:w="60"/>
              <w:right w:type="dxa" w:w="100"/>
            </w:tcMar>
          </w:tcPr>
          <w:p>
            <w:pPr>
              <w:spacing w:after="0"/>
            </w:pPr>
            <w:r>
              <w:rPr>
                <w:rFonts w:ascii="Arial" w:cs="Arial" w:eastAsia="Arial" w:hAnsi="Arial"/>
                <w:b w:val="false"/>
                <w:bCs w:val="false"/>
                <w:sz w:val="20"/>
                <w:szCs w:val="20"/>
              </w:rPr>
              <w:t xml:space="preserve">Stage 3 (N = 200)</w:t>
            </w:r>
          </w:p>
        </w:tc>
        <w:tc>
          <w:tcPr>
            <w:tcW w:type="dxa" w:w="1500"/>
            <w:tcMar>
              <w:top w:type="dxa" w:w="60"/>
              <w:left w:type="dxa" w:w="100"/>
              <w:bottom w:type="dxa" w:w="60"/>
              <w:right w:type="dxa" w:w="100"/>
            </w:tcMar>
          </w:tcPr>
          <w:p>
            <w:pPr>
              <w:spacing w:after="0"/>
            </w:pPr>
            <w:r>
              <w:rPr>
                <w:rFonts w:ascii="Arial" w:cs="Arial" w:eastAsia="Arial" w:hAnsi="Arial"/>
                <w:b w:val="false"/>
                <w:bCs w:val="false"/>
                <w:sz w:val="20"/>
                <w:szCs w:val="20"/>
              </w:rPr>
              <w:t xml:space="preserve">Checkpoints</w:t>
            </w:r>
          </w:p>
        </w:tc>
        <w:tc>
          <w:tcPr>
            <w:tcW w:type="dxa" w:w="2560"/>
            <w:tcMar>
              <w:top w:type="dxa" w:w="60"/>
              <w:left w:type="dxa" w:w="100"/>
              <w:bottom w:type="dxa" w:w="60"/>
              <w:right w:type="dxa" w:w="100"/>
            </w:tcMar>
          </w:tcPr>
          <w:p>
            <w:pPr>
              <w:spacing w:after="0"/>
            </w:pPr>
            <w:r>
              <w:rPr>
                <w:rFonts w:ascii="Arial" w:cs="Arial" w:eastAsia="Arial" w:hAnsi="Arial"/>
                <w:b w:val="false"/>
                <w:bCs w:val="false"/>
                <w:sz w:val="20"/>
                <w:szCs w:val="20"/>
              </w:rPr>
              <w:t xml:space="preserve">1.843,5 min (30,72 h)</w:t>
            </w:r>
          </w:p>
        </w:tc>
        <w:tc>
          <w:tcPr>
            <w:tcW w:type="dxa" w:w="3400"/>
            <w:tcMar>
              <w:top w:type="dxa" w:w="60"/>
              <w:left w:type="dxa" w:w="100"/>
              <w:bottom w:type="dxa" w:w="60"/>
              <w:right w:type="dxa" w:w="100"/>
            </w:tcMar>
          </w:tcPr>
          <w:p>
            <w:pPr>
              <w:spacing w:after="0"/>
            </w:pPr>
            <w:r>
              <w:rPr>
                <w:rFonts w:ascii="Arial" w:cs="Arial" w:eastAsia="Arial" w:hAnsi="Arial"/>
                <w:b w:val="false"/>
                <w:bCs w:val="false"/>
                <w:sz w:val="20"/>
                <w:szCs w:val="20"/>
              </w:rPr>
              <w:t xml:space="preserve">Varias sesiones; incidente de mount resuelto sin pérdida</w:t>
            </w:r>
          </w:p>
        </w:tc>
      </w:tr>
      <w:tr>
        <w:tc>
          <w:tcPr>
            <w:tcW w:type="dxa" w:w="1900"/>
            <w:tcMar>
              <w:top w:type="dxa" w:w="60"/>
              <w:left w:type="dxa" w:w="100"/>
              <w:bottom w:type="dxa" w:w="60"/>
              <w:right w:type="dxa" w:w="100"/>
            </w:tcMar>
          </w:tcPr>
          <w:p>
            <w:pPr>
              <w:spacing w:after="0"/>
            </w:pPr>
            <w:r>
              <w:rPr>
                <w:rFonts w:ascii="Arial" w:cs="Arial" w:eastAsia="Arial" w:hAnsi="Arial"/>
                <w:b w:val="false"/>
                <w:bCs w:val="false"/>
                <w:sz w:val="20"/>
                <w:szCs w:val="20"/>
              </w:rPr>
              <w:t xml:space="preserve">Total</w:t>
            </w:r>
          </w:p>
        </w:tc>
        <w:tc>
          <w:tcPr>
            <w:tcW w:type="dxa" w:w="1500"/>
            <w:tcMar>
              <w:top w:type="dxa" w:w="60"/>
              <w:left w:type="dxa" w:w="100"/>
              <w:bottom w:type="dxa" w:w="60"/>
              <w:right w:type="dxa" w:w="100"/>
            </w:tcMar>
          </w:tcPr>
          <w:p>
            <w:pPr>
              <w:spacing w:after="0"/>
            </w:pPr>
            <w:r>
              <w:rPr>
                <w:rFonts w:ascii="Arial" w:cs="Arial" w:eastAsia="Arial" w:hAnsi="Arial"/>
                <w:b w:val="false"/>
                <w:bCs w:val="false"/>
                <w:sz w:val="20"/>
                <w:szCs w:val="20"/>
              </w:rPr>
              <w:t xml:space="preserve">—</w:t>
            </w:r>
          </w:p>
        </w:tc>
        <w:tc>
          <w:tcPr>
            <w:tcW w:type="dxa" w:w="2560"/>
            <w:tcMar>
              <w:top w:type="dxa" w:w="60"/>
              <w:left w:type="dxa" w:w="100"/>
              <w:bottom w:type="dxa" w:w="60"/>
              <w:right w:type="dxa" w:w="100"/>
            </w:tcMar>
          </w:tcPr>
          <w:p>
            <w:pPr>
              <w:spacing w:after="0"/>
            </w:pPr>
            <w:r>
              <w:rPr>
                <w:rFonts w:ascii="Arial" w:cs="Arial" w:eastAsia="Arial" w:hAnsi="Arial"/>
                <w:b w:val="false"/>
                <w:bCs w:val="false"/>
                <w:sz w:val="20"/>
                <w:szCs w:val="20"/>
              </w:rPr>
              <w:t xml:space="preserve">≈ 53,3 h</w:t>
            </w:r>
          </w:p>
        </w:tc>
        <w:tc>
          <w:tcPr>
            <w:tcW w:type="dxa" w:w="3400"/>
            <w:tcMar>
              <w:top w:type="dxa" w:w="60"/>
              <w:left w:type="dxa" w:w="100"/>
              <w:bottom w:type="dxa" w:w="60"/>
              <w:right w:type="dxa" w:w="100"/>
            </w:tcMar>
          </w:tcPr>
          <w:p>
            <w:pPr>
              <w:spacing w:after="0"/>
            </w:pPr>
            <w:r>
              <w:rPr>
                <w:rFonts w:ascii="Arial" w:cs="Arial" w:eastAsia="Arial" w:hAnsi="Arial"/>
                <w:b w:val="false"/>
                <w:bCs w:val="false"/>
                <w:sz w:val="20"/>
                <w:szCs w:val="20"/>
              </w:rPr>
              <w:t xml:space="preserve">Frente a ~21 h estimadas en la hoja de ruta</w:t>
            </w:r>
          </w:p>
        </w:tc>
      </w:tr>
    </w:tbl>
    <w:p>
      <w:pPr>
        <w:spacing w:after="120"/>
        <w:jc w:val="both"/>
      </w:pPr>
      <w:r>
        <w:rPr>
          <w:rFonts w:ascii="Arial" w:cs="Arial" w:eastAsia="Arial" w:hAnsi="Arial"/>
          <w:sz w:val="22"/>
          <w:szCs w:val="22"/>
        </w:rPr>
        <w:t xml:space="preserve"/>
      </w:r>
    </w:p>
    <w:p>
      <w:pPr>
        <w:spacing w:after="120"/>
        <w:jc w:val="both"/>
      </w:pPr>
      <w:r>
        <w:rPr>
          <w:rFonts w:ascii="Arial" w:cs="Arial" w:eastAsia="Arial" w:hAnsi="Arial"/>
          <w:b/>
          <w:bCs/>
          <w:sz w:val="22"/>
          <w:szCs w:val="22"/>
        </w:rPr>
        <w:t xml:space="preserve">Integridad del registro: </w:t>
      </w:r>
      <w:r>
        <w:rPr>
          <w:rFonts w:ascii="Arial" w:cs="Arial" w:eastAsia="Arial" w:hAnsi="Arial"/>
          <w:sz w:val="22"/>
          <w:szCs w:val="22"/>
        </w:rPr>
        <w:t xml:space="preserve">la suma de los tiempos por configuración del anexo tiempos_por_config.csv (240 filas: 60 configs × 2 brazos × 2 stages con checkpoints) reproduce exactamente el agregado de cada stage — 963,1 min y 1.843,5 min — verificación cruzada entre el registro fino y el consolidado.</w:t>
      </w:r>
    </w:p>
    <w:p>
      <w:pPr>
        <w:spacing w:after="120"/>
        <w:jc w:val="both"/>
      </w:pPr>
      <w:r>
        <w:rPr>
          <w:rFonts w:ascii="Arial" w:cs="Arial" w:eastAsia="Arial" w:hAnsi="Arial"/>
          <w:b/>
          <w:bCs/>
          <w:sz w:val="22"/>
          <w:szCs w:val="22"/>
        </w:rPr>
        <w:t xml:space="preserve">La cola pesada tiene nombre y régimen físico: </w:t>
      </w:r>
      <w:r>
        <w:rPr>
          <w:rFonts w:ascii="Arial" w:cs="Arial" w:eastAsia="Arial" w:hAnsi="Arial"/>
          <w:sz w:val="22"/>
          <w:szCs w:val="22"/>
        </w:rPr>
        <w:t xml:space="preserve">las diez evaluaciones más caras del programa pertenecen todas a la familia encuentro_violento del subset OOD lejano (configs 44, 45 y 46). El subset OOD lejano concentra el 86,0 % del tiempo total en N = 100 y el 89,3 % en N = 200; las seis entradas de esa familia (tres configs por dos brazos) concentran por sí solas cerca del 80 %. La mediana por configuración es de 40–73 segundos según stage y brazo; el máximo — la config 45 en el brazo de control a N = 200 — tomó 631,9 minutos (10,5 h): cuatro órdenes de magnitud entre el caso típico y el extremo.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60"/>
        <w:gridCol w:w="2600"/>
        <w:gridCol w:w="2500"/>
      </w:tblGrid>
      <w:tr>
        <w:trPr>
          <w:tblHeader/>
        </w:trPr>
        <w:tc>
          <w:tcPr>
            <w:tcW w:type="dxa" w:w="4260"/>
            <w:tcMar>
              <w:top w:type="dxa" w:w="60"/>
              <w:left w:type="dxa" w:w="100"/>
              <w:bottom w:type="dxa" w:w="60"/>
              <w:right w:type="dxa" w:w="100"/>
            </w:tcMar>
          </w:tcPr>
          <w:p>
            <w:pPr>
              <w:spacing w:after="0"/>
            </w:pPr>
            <w:r>
              <w:rPr>
                <w:rFonts w:ascii="Arial" w:cs="Arial" w:eastAsia="Arial" w:hAnsi="Arial"/>
                <w:b/>
                <w:bCs/>
                <w:sz w:val="20"/>
                <w:szCs w:val="20"/>
              </w:rPr>
              <w:t xml:space="preserve">Config (idx — id)</w:t>
            </w:r>
          </w:p>
        </w:tc>
        <w:tc>
          <w:tcPr>
            <w:tcW w:type="dxa" w:w="2600"/>
            <w:tcMar>
              <w:top w:type="dxa" w:w="60"/>
              <w:left w:type="dxa" w:w="100"/>
              <w:bottom w:type="dxa" w:w="60"/>
              <w:right w:type="dxa" w:w="100"/>
            </w:tcMar>
          </w:tcPr>
          <w:p>
            <w:pPr>
              <w:spacing w:after="0"/>
            </w:pPr>
            <w:r>
              <w:rPr>
                <w:rFonts w:ascii="Arial" w:cs="Arial" w:eastAsia="Arial" w:hAnsi="Arial"/>
                <w:b/>
                <w:bCs/>
                <w:sz w:val="20"/>
                <w:szCs w:val="20"/>
              </w:rPr>
              <w:t xml:space="preserve">Stage y brazo</w:t>
            </w:r>
          </w:p>
        </w:tc>
        <w:tc>
          <w:tcPr>
            <w:tcW w:type="dxa" w:w="2500"/>
            <w:tcMar>
              <w:top w:type="dxa" w:w="60"/>
              <w:left w:type="dxa" w:w="100"/>
              <w:bottom w:type="dxa" w:w="60"/>
              <w:right w:type="dxa" w:w="100"/>
            </w:tcMar>
          </w:tcPr>
          <w:p>
            <w:pPr>
              <w:spacing w:after="0"/>
            </w:pPr>
            <w:r>
              <w:rPr>
                <w:rFonts w:ascii="Arial" w:cs="Arial" w:eastAsia="Arial" w:hAnsi="Arial"/>
                <w:b/>
                <w:bCs/>
                <w:sz w:val="20"/>
                <w:szCs w:val="20"/>
              </w:rPr>
              <w:t xml:space="preserve">Cómputo</w:t>
            </w:r>
          </w:p>
        </w:tc>
      </w:tr>
      <w:tr>
        <w:tc>
          <w:tcPr>
            <w:tcW w:type="dxa" w:w="4260"/>
            <w:tcMar>
              <w:top w:type="dxa" w:w="60"/>
              <w:left w:type="dxa" w:w="100"/>
              <w:bottom w:type="dxa" w:w="60"/>
              <w:right w:type="dxa" w:w="100"/>
            </w:tcMar>
          </w:tcPr>
          <w:p>
            <w:pPr>
              <w:spacing w:after="0"/>
            </w:pPr>
            <w:r>
              <w:rPr>
                <w:rFonts w:ascii="Arial" w:cs="Arial" w:eastAsia="Arial" w:hAnsi="Arial"/>
                <w:b w:val="false"/>
                <w:bCs w:val="false"/>
                <w:sz w:val="20"/>
                <w:szCs w:val="20"/>
              </w:rPr>
              <w:t xml:space="preserve">45 — OOD_FAR_encuentro_violento_01</w:t>
            </w:r>
          </w:p>
        </w:tc>
        <w:tc>
          <w:tcPr>
            <w:tcW w:type="dxa" w:w="2600"/>
            <w:tcMar>
              <w:top w:type="dxa" w:w="60"/>
              <w:left w:type="dxa" w:w="100"/>
              <w:bottom w:type="dxa" w:w="60"/>
              <w:right w:type="dxa" w:w="100"/>
            </w:tcMar>
          </w:tcPr>
          <w:p>
            <w:pPr>
              <w:spacing w:after="0"/>
            </w:pPr>
            <w:r>
              <w:rPr>
                <w:rFonts w:ascii="Arial" w:cs="Arial" w:eastAsia="Arial" w:hAnsi="Arial"/>
                <w:b w:val="false"/>
                <w:bCs w:val="false"/>
                <w:sz w:val="20"/>
                <w:szCs w:val="20"/>
              </w:rPr>
              <w:t xml:space="preserve">N=200, control</w:t>
            </w:r>
          </w:p>
        </w:tc>
        <w:tc>
          <w:tcPr>
            <w:tcW w:type="dxa" w:w="2500"/>
            <w:tcMar>
              <w:top w:type="dxa" w:w="60"/>
              <w:left w:type="dxa" w:w="100"/>
              <w:bottom w:type="dxa" w:w="60"/>
              <w:right w:type="dxa" w:w="100"/>
            </w:tcMar>
          </w:tcPr>
          <w:p>
            <w:pPr>
              <w:spacing w:after="0"/>
            </w:pPr>
            <w:r>
              <w:rPr>
                <w:rFonts w:ascii="Arial" w:cs="Arial" w:eastAsia="Arial" w:hAnsi="Arial"/>
                <w:b w:val="false"/>
                <w:bCs w:val="false"/>
                <w:sz w:val="20"/>
                <w:szCs w:val="20"/>
              </w:rPr>
              <w:t xml:space="preserve">631,9 min (10,5 h)</w:t>
            </w:r>
          </w:p>
        </w:tc>
      </w:tr>
      <w:tr>
        <w:tc>
          <w:tcPr>
            <w:tcW w:type="dxa" w:w="4260"/>
            <w:tcMar>
              <w:top w:type="dxa" w:w="60"/>
              <w:left w:type="dxa" w:w="100"/>
              <w:bottom w:type="dxa" w:w="60"/>
              <w:right w:type="dxa" w:w="100"/>
            </w:tcMar>
          </w:tcPr>
          <w:p>
            <w:pPr>
              <w:spacing w:after="0"/>
            </w:pPr>
            <w:r>
              <w:rPr>
                <w:rFonts w:ascii="Arial" w:cs="Arial" w:eastAsia="Arial" w:hAnsi="Arial"/>
                <w:b w:val="false"/>
                <w:bCs w:val="false"/>
                <w:sz w:val="20"/>
                <w:szCs w:val="20"/>
              </w:rPr>
              <w:t xml:space="preserve">45 — OOD_FAR_encuentro_violento_01</w:t>
            </w:r>
          </w:p>
        </w:tc>
        <w:tc>
          <w:tcPr>
            <w:tcW w:type="dxa" w:w="2600"/>
            <w:tcMar>
              <w:top w:type="dxa" w:w="60"/>
              <w:left w:type="dxa" w:w="100"/>
              <w:bottom w:type="dxa" w:w="60"/>
              <w:right w:type="dxa" w:w="100"/>
            </w:tcMar>
          </w:tcPr>
          <w:p>
            <w:pPr>
              <w:spacing w:after="0"/>
            </w:pPr>
            <w:r>
              <w:rPr>
                <w:rFonts w:ascii="Arial" w:cs="Arial" w:eastAsia="Arial" w:hAnsi="Arial"/>
                <w:b w:val="false"/>
                <w:bCs w:val="false"/>
                <w:sz w:val="20"/>
                <w:szCs w:val="20"/>
              </w:rPr>
              <w:t xml:space="preserve">N=200, principal</w:t>
            </w:r>
          </w:p>
        </w:tc>
        <w:tc>
          <w:tcPr>
            <w:tcW w:type="dxa" w:w="2500"/>
            <w:tcMar>
              <w:top w:type="dxa" w:w="60"/>
              <w:left w:type="dxa" w:w="100"/>
              <w:bottom w:type="dxa" w:w="60"/>
              <w:right w:type="dxa" w:w="100"/>
            </w:tcMar>
          </w:tcPr>
          <w:p>
            <w:pPr>
              <w:spacing w:after="0"/>
            </w:pPr>
            <w:r>
              <w:rPr>
                <w:rFonts w:ascii="Arial" w:cs="Arial" w:eastAsia="Arial" w:hAnsi="Arial"/>
                <w:b w:val="false"/>
                <w:bCs w:val="false"/>
                <w:sz w:val="20"/>
                <w:szCs w:val="20"/>
              </w:rPr>
              <w:t xml:space="preserve">331,7 min</w:t>
            </w:r>
          </w:p>
        </w:tc>
      </w:tr>
      <w:tr>
        <w:tc>
          <w:tcPr>
            <w:tcW w:type="dxa" w:w="4260"/>
            <w:tcMar>
              <w:top w:type="dxa" w:w="60"/>
              <w:left w:type="dxa" w:w="100"/>
              <w:bottom w:type="dxa" w:w="60"/>
              <w:right w:type="dxa" w:w="100"/>
            </w:tcMar>
          </w:tcPr>
          <w:p>
            <w:pPr>
              <w:spacing w:after="0"/>
            </w:pPr>
            <w:r>
              <w:rPr>
                <w:rFonts w:ascii="Arial" w:cs="Arial" w:eastAsia="Arial" w:hAnsi="Arial"/>
                <w:b w:val="false"/>
                <w:bCs w:val="false"/>
                <w:sz w:val="20"/>
                <w:szCs w:val="20"/>
              </w:rPr>
              <w:t xml:space="preserve">44 — OOD_FAR_encuentro_violento_00</w:t>
            </w:r>
          </w:p>
        </w:tc>
        <w:tc>
          <w:tcPr>
            <w:tcW w:type="dxa" w:w="2600"/>
            <w:tcMar>
              <w:top w:type="dxa" w:w="60"/>
              <w:left w:type="dxa" w:w="100"/>
              <w:bottom w:type="dxa" w:w="60"/>
              <w:right w:type="dxa" w:w="100"/>
            </w:tcMar>
          </w:tcPr>
          <w:p>
            <w:pPr>
              <w:spacing w:after="0"/>
            </w:pPr>
            <w:r>
              <w:rPr>
                <w:rFonts w:ascii="Arial" w:cs="Arial" w:eastAsia="Arial" w:hAnsi="Arial"/>
                <w:b w:val="false"/>
                <w:bCs w:val="false"/>
                <w:sz w:val="20"/>
                <w:szCs w:val="20"/>
              </w:rPr>
              <w:t xml:space="preserve">N=200, control</w:t>
            </w:r>
          </w:p>
        </w:tc>
        <w:tc>
          <w:tcPr>
            <w:tcW w:type="dxa" w:w="2500"/>
            <w:tcMar>
              <w:top w:type="dxa" w:w="60"/>
              <w:left w:type="dxa" w:w="100"/>
              <w:bottom w:type="dxa" w:w="60"/>
              <w:right w:type="dxa" w:w="100"/>
            </w:tcMar>
          </w:tcPr>
          <w:p>
            <w:pPr>
              <w:spacing w:after="0"/>
            </w:pPr>
            <w:r>
              <w:rPr>
                <w:rFonts w:ascii="Arial" w:cs="Arial" w:eastAsia="Arial" w:hAnsi="Arial"/>
                <w:b w:val="false"/>
                <w:bCs w:val="false"/>
                <w:sz w:val="20"/>
                <w:szCs w:val="20"/>
              </w:rPr>
              <w:t xml:space="preserve">270,7 min</w:t>
            </w:r>
          </w:p>
        </w:tc>
      </w:tr>
      <w:tr>
        <w:tc>
          <w:tcPr>
            <w:tcW w:type="dxa" w:w="4260"/>
            <w:tcMar>
              <w:top w:type="dxa" w:w="60"/>
              <w:left w:type="dxa" w:w="100"/>
              <w:bottom w:type="dxa" w:w="60"/>
              <w:right w:type="dxa" w:w="100"/>
            </w:tcMar>
          </w:tcPr>
          <w:p>
            <w:pPr>
              <w:spacing w:after="0"/>
            </w:pPr>
            <w:r>
              <w:rPr>
                <w:rFonts w:ascii="Arial" w:cs="Arial" w:eastAsia="Arial" w:hAnsi="Arial"/>
                <w:b w:val="false"/>
                <w:bCs w:val="false"/>
                <w:sz w:val="20"/>
                <w:szCs w:val="20"/>
              </w:rPr>
              <w:t xml:space="preserve">45 — OOD_FAR_encuentro_violento_01</w:t>
            </w:r>
          </w:p>
        </w:tc>
        <w:tc>
          <w:tcPr>
            <w:tcW w:type="dxa" w:w="2600"/>
            <w:tcMar>
              <w:top w:type="dxa" w:w="60"/>
              <w:left w:type="dxa" w:w="100"/>
              <w:bottom w:type="dxa" w:w="60"/>
              <w:right w:type="dxa" w:w="100"/>
            </w:tcMar>
          </w:tcPr>
          <w:p>
            <w:pPr>
              <w:spacing w:after="0"/>
            </w:pPr>
            <w:r>
              <w:rPr>
                <w:rFonts w:ascii="Arial" w:cs="Arial" w:eastAsia="Arial" w:hAnsi="Arial"/>
                <w:b w:val="false"/>
                <w:bCs w:val="false"/>
                <w:sz w:val="20"/>
                <w:szCs w:val="20"/>
              </w:rPr>
              <w:t xml:space="preserve">N=100, principal</w:t>
            </w:r>
          </w:p>
        </w:tc>
        <w:tc>
          <w:tcPr>
            <w:tcW w:type="dxa" w:w="2500"/>
            <w:tcMar>
              <w:top w:type="dxa" w:w="60"/>
              <w:left w:type="dxa" w:w="100"/>
              <w:bottom w:type="dxa" w:w="60"/>
              <w:right w:type="dxa" w:w="100"/>
            </w:tcMar>
          </w:tcPr>
          <w:p>
            <w:pPr>
              <w:spacing w:after="0"/>
            </w:pPr>
            <w:r>
              <w:rPr>
                <w:rFonts w:ascii="Arial" w:cs="Arial" w:eastAsia="Arial" w:hAnsi="Arial"/>
                <w:b w:val="false"/>
                <w:bCs w:val="false"/>
                <w:sz w:val="20"/>
                <w:szCs w:val="20"/>
              </w:rPr>
              <w:t xml:space="preserve">205,5 min</w:t>
            </w:r>
          </w:p>
        </w:tc>
      </w:tr>
      <w:tr>
        <w:tc>
          <w:tcPr>
            <w:tcW w:type="dxa" w:w="4260"/>
            <w:tcMar>
              <w:top w:type="dxa" w:w="60"/>
              <w:left w:type="dxa" w:w="100"/>
              <w:bottom w:type="dxa" w:w="60"/>
              <w:right w:type="dxa" w:w="100"/>
            </w:tcMar>
          </w:tcPr>
          <w:p>
            <w:pPr>
              <w:spacing w:after="0"/>
            </w:pPr>
            <w:r>
              <w:rPr>
                <w:rFonts w:ascii="Arial" w:cs="Arial" w:eastAsia="Arial" w:hAnsi="Arial"/>
                <w:b w:val="false"/>
                <w:bCs w:val="false"/>
                <w:sz w:val="20"/>
                <w:szCs w:val="20"/>
              </w:rPr>
              <w:t xml:space="preserve">45 — OOD_FAR_encuentro_violento_01</w:t>
            </w:r>
          </w:p>
        </w:tc>
        <w:tc>
          <w:tcPr>
            <w:tcW w:type="dxa" w:w="2600"/>
            <w:tcMar>
              <w:top w:type="dxa" w:w="60"/>
              <w:left w:type="dxa" w:w="100"/>
              <w:bottom w:type="dxa" w:w="60"/>
              <w:right w:type="dxa" w:w="100"/>
            </w:tcMar>
          </w:tcPr>
          <w:p>
            <w:pPr>
              <w:spacing w:after="0"/>
            </w:pPr>
            <w:r>
              <w:rPr>
                <w:rFonts w:ascii="Arial" w:cs="Arial" w:eastAsia="Arial" w:hAnsi="Arial"/>
                <w:b w:val="false"/>
                <w:bCs w:val="false"/>
                <w:sz w:val="20"/>
                <w:szCs w:val="20"/>
              </w:rPr>
              <w:t xml:space="preserve">N=100, control</w:t>
            </w:r>
          </w:p>
        </w:tc>
        <w:tc>
          <w:tcPr>
            <w:tcW w:type="dxa" w:w="2500"/>
            <w:tcMar>
              <w:top w:type="dxa" w:w="60"/>
              <w:left w:type="dxa" w:w="100"/>
              <w:bottom w:type="dxa" w:w="60"/>
              <w:right w:type="dxa" w:w="100"/>
            </w:tcMar>
          </w:tcPr>
          <w:p>
            <w:pPr>
              <w:spacing w:after="0"/>
            </w:pPr>
            <w:r>
              <w:rPr>
                <w:rFonts w:ascii="Arial" w:cs="Arial" w:eastAsia="Arial" w:hAnsi="Arial"/>
                <w:b w:val="false"/>
                <w:bCs w:val="false"/>
                <w:sz w:val="20"/>
                <w:szCs w:val="20"/>
              </w:rPr>
              <w:t xml:space="preserve">180,8 min</w:t>
            </w:r>
          </w:p>
        </w:tc>
      </w:tr>
      <w:tr>
        <w:tc>
          <w:tcPr>
            <w:tcW w:type="dxa" w:w="4260"/>
            <w:tcMar>
              <w:top w:type="dxa" w:w="60"/>
              <w:left w:type="dxa" w:w="100"/>
              <w:bottom w:type="dxa" w:w="60"/>
              <w:right w:type="dxa" w:w="100"/>
            </w:tcMar>
          </w:tcPr>
          <w:p>
            <w:pPr>
              <w:spacing w:after="0"/>
            </w:pPr>
            <w:r>
              <w:rPr>
                <w:rFonts w:ascii="Arial" w:cs="Arial" w:eastAsia="Arial" w:hAnsi="Arial"/>
                <w:b w:val="false"/>
                <w:bCs w:val="false"/>
                <w:sz w:val="20"/>
                <w:szCs w:val="20"/>
              </w:rPr>
              <w:t xml:space="preserve">44 — OOD_FAR_encuentro_violento_00</w:t>
            </w:r>
          </w:p>
        </w:tc>
        <w:tc>
          <w:tcPr>
            <w:tcW w:type="dxa" w:w="2600"/>
            <w:tcMar>
              <w:top w:type="dxa" w:w="60"/>
              <w:left w:type="dxa" w:w="100"/>
              <w:bottom w:type="dxa" w:w="60"/>
              <w:right w:type="dxa" w:w="100"/>
            </w:tcMar>
          </w:tcPr>
          <w:p>
            <w:pPr>
              <w:spacing w:after="0"/>
            </w:pPr>
            <w:r>
              <w:rPr>
                <w:rFonts w:ascii="Arial" w:cs="Arial" w:eastAsia="Arial" w:hAnsi="Arial"/>
                <w:b w:val="false"/>
                <w:bCs w:val="false"/>
                <w:sz w:val="20"/>
                <w:szCs w:val="20"/>
              </w:rPr>
              <w:t xml:space="preserve">N=200, principal</w:t>
            </w:r>
          </w:p>
        </w:tc>
        <w:tc>
          <w:tcPr>
            <w:tcW w:type="dxa" w:w="2500"/>
            <w:tcMar>
              <w:top w:type="dxa" w:w="60"/>
              <w:left w:type="dxa" w:w="100"/>
              <w:bottom w:type="dxa" w:w="60"/>
              <w:right w:type="dxa" w:w="100"/>
            </w:tcMar>
          </w:tcPr>
          <w:p>
            <w:pPr>
              <w:spacing w:after="0"/>
            </w:pPr>
            <w:r>
              <w:rPr>
                <w:rFonts w:ascii="Arial" w:cs="Arial" w:eastAsia="Arial" w:hAnsi="Arial"/>
                <w:b w:val="false"/>
                <w:bCs w:val="false"/>
                <w:sz w:val="20"/>
                <w:szCs w:val="20"/>
              </w:rPr>
              <w:t xml:space="preserve">173,4 min</w:t>
            </w:r>
          </w:p>
        </w:tc>
      </w:tr>
      <w:tr>
        <w:tc>
          <w:tcPr>
            <w:tcW w:type="dxa" w:w="4260"/>
            <w:tcMar>
              <w:top w:type="dxa" w:w="60"/>
              <w:left w:type="dxa" w:w="100"/>
              <w:bottom w:type="dxa" w:w="60"/>
              <w:right w:type="dxa" w:w="100"/>
            </w:tcMar>
          </w:tcPr>
          <w:p>
            <w:pPr>
              <w:spacing w:after="0"/>
            </w:pPr>
            <w:r>
              <w:rPr>
                <w:rFonts w:ascii="Arial" w:cs="Arial" w:eastAsia="Arial" w:hAnsi="Arial"/>
                <w:b w:val="false"/>
                <w:bCs w:val="false"/>
                <w:sz w:val="20"/>
                <w:szCs w:val="20"/>
              </w:rPr>
              <w:t xml:space="preserve">44 — OOD_FAR_encuentro_violento_00</w:t>
            </w:r>
          </w:p>
        </w:tc>
        <w:tc>
          <w:tcPr>
            <w:tcW w:type="dxa" w:w="2600"/>
            <w:tcMar>
              <w:top w:type="dxa" w:w="60"/>
              <w:left w:type="dxa" w:w="100"/>
              <w:bottom w:type="dxa" w:w="60"/>
              <w:right w:type="dxa" w:w="100"/>
            </w:tcMar>
          </w:tcPr>
          <w:p>
            <w:pPr>
              <w:spacing w:after="0"/>
            </w:pPr>
            <w:r>
              <w:rPr>
                <w:rFonts w:ascii="Arial" w:cs="Arial" w:eastAsia="Arial" w:hAnsi="Arial"/>
                <w:b w:val="false"/>
                <w:bCs w:val="false"/>
                <w:sz w:val="20"/>
                <w:szCs w:val="20"/>
              </w:rPr>
              <w:t xml:space="preserve">N=100, control</w:t>
            </w:r>
          </w:p>
        </w:tc>
        <w:tc>
          <w:tcPr>
            <w:tcW w:type="dxa" w:w="2500"/>
            <w:tcMar>
              <w:top w:type="dxa" w:w="60"/>
              <w:left w:type="dxa" w:w="100"/>
              <w:bottom w:type="dxa" w:w="60"/>
              <w:right w:type="dxa" w:w="100"/>
            </w:tcMar>
          </w:tcPr>
          <w:p>
            <w:pPr>
              <w:spacing w:after="0"/>
            </w:pPr>
            <w:r>
              <w:rPr>
                <w:rFonts w:ascii="Arial" w:cs="Arial" w:eastAsia="Arial" w:hAnsi="Arial"/>
                <w:b w:val="false"/>
                <w:bCs w:val="false"/>
                <w:sz w:val="20"/>
                <w:szCs w:val="20"/>
              </w:rPr>
              <w:t xml:space="preserve">156,5 min</w:t>
            </w:r>
          </w:p>
        </w:tc>
      </w:tr>
      <w:tr>
        <w:tc>
          <w:tcPr>
            <w:tcW w:type="dxa" w:w="4260"/>
            <w:tcMar>
              <w:top w:type="dxa" w:w="60"/>
              <w:left w:type="dxa" w:w="100"/>
              <w:bottom w:type="dxa" w:w="60"/>
              <w:right w:type="dxa" w:w="100"/>
            </w:tcMar>
          </w:tcPr>
          <w:p>
            <w:pPr>
              <w:spacing w:after="0"/>
            </w:pPr>
            <w:r>
              <w:rPr>
                <w:rFonts w:ascii="Arial" w:cs="Arial" w:eastAsia="Arial" w:hAnsi="Arial"/>
                <w:b w:val="false"/>
                <w:bCs w:val="false"/>
                <w:sz w:val="20"/>
                <w:szCs w:val="20"/>
              </w:rPr>
              <w:t xml:space="preserve">44 — OOD_FAR_encuentro_violento_00</w:t>
            </w:r>
          </w:p>
        </w:tc>
        <w:tc>
          <w:tcPr>
            <w:tcW w:type="dxa" w:w="2600"/>
            <w:tcMar>
              <w:top w:type="dxa" w:w="60"/>
              <w:left w:type="dxa" w:w="100"/>
              <w:bottom w:type="dxa" w:w="60"/>
              <w:right w:type="dxa" w:w="100"/>
            </w:tcMar>
          </w:tcPr>
          <w:p>
            <w:pPr>
              <w:spacing w:after="0"/>
            </w:pPr>
            <w:r>
              <w:rPr>
                <w:rFonts w:ascii="Arial" w:cs="Arial" w:eastAsia="Arial" w:hAnsi="Arial"/>
                <w:b w:val="false"/>
                <w:bCs w:val="false"/>
                <w:sz w:val="20"/>
                <w:szCs w:val="20"/>
              </w:rPr>
              <w:t xml:space="preserve">N=100, principal</w:t>
            </w:r>
          </w:p>
        </w:tc>
        <w:tc>
          <w:tcPr>
            <w:tcW w:type="dxa" w:w="2500"/>
            <w:tcMar>
              <w:top w:type="dxa" w:w="60"/>
              <w:left w:type="dxa" w:w="100"/>
              <w:bottom w:type="dxa" w:w="60"/>
              <w:right w:type="dxa" w:w="100"/>
            </w:tcMar>
          </w:tcPr>
          <w:p>
            <w:pPr>
              <w:spacing w:after="0"/>
            </w:pPr>
            <w:r>
              <w:rPr>
                <w:rFonts w:ascii="Arial" w:cs="Arial" w:eastAsia="Arial" w:hAnsi="Arial"/>
                <w:b w:val="false"/>
                <w:bCs w:val="false"/>
                <w:sz w:val="20"/>
                <w:szCs w:val="20"/>
              </w:rPr>
              <w:t xml:space="preserve">153,5 min</w:t>
            </w:r>
          </w:p>
        </w:tc>
      </w:tr>
      <w:tr>
        <w:tc>
          <w:tcPr>
            <w:tcW w:type="dxa" w:w="4260"/>
            <w:tcMar>
              <w:top w:type="dxa" w:w="60"/>
              <w:left w:type="dxa" w:w="100"/>
              <w:bottom w:type="dxa" w:w="60"/>
              <w:right w:type="dxa" w:w="100"/>
            </w:tcMar>
          </w:tcPr>
          <w:p>
            <w:pPr>
              <w:spacing w:after="0"/>
            </w:pPr>
            <w:r>
              <w:rPr>
                <w:rFonts w:ascii="Arial" w:cs="Arial" w:eastAsia="Arial" w:hAnsi="Arial"/>
                <w:b w:val="false"/>
                <w:bCs w:val="false"/>
                <w:sz w:val="20"/>
                <w:szCs w:val="20"/>
              </w:rPr>
              <w:t xml:space="preserve">46 — OOD_FAR_encuentro_violento_02</w:t>
            </w:r>
          </w:p>
        </w:tc>
        <w:tc>
          <w:tcPr>
            <w:tcW w:type="dxa" w:w="2600"/>
            <w:tcMar>
              <w:top w:type="dxa" w:w="60"/>
              <w:left w:type="dxa" w:w="100"/>
              <w:bottom w:type="dxa" w:w="60"/>
              <w:right w:type="dxa" w:w="100"/>
            </w:tcMar>
          </w:tcPr>
          <w:p>
            <w:pPr>
              <w:spacing w:after="0"/>
            </w:pPr>
            <w:r>
              <w:rPr>
                <w:rFonts w:ascii="Arial" w:cs="Arial" w:eastAsia="Arial" w:hAnsi="Arial"/>
                <w:b w:val="false"/>
                <w:bCs w:val="false"/>
                <w:sz w:val="20"/>
                <w:szCs w:val="20"/>
              </w:rPr>
              <w:t xml:space="preserve">N=200, principal</w:t>
            </w:r>
          </w:p>
        </w:tc>
        <w:tc>
          <w:tcPr>
            <w:tcW w:type="dxa" w:w="2500"/>
            <w:tcMar>
              <w:top w:type="dxa" w:w="60"/>
              <w:left w:type="dxa" w:w="100"/>
              <w:bottom w:type="dxa" w:w="60"/>
              <w:right w:type="dxa" w:w="100"/>
            </w:tcMar>
          </w:tcPr>
          <w:p>
            <w:pPr>
              <w:spacing w:after="0"/>
            </w:pPr>
            <w:r>
              <w:rPr>
                <w:rFonts w:ascii="Arial" w:cs="Arial" w:eastAsia="Arial" w:hAnsi="Arial"/>
                <w:b w:val="false"/>
                <w:bCs w:val="false"/>
                <w:sz w:val="20"/>
                <w:szCs w:val="20"/>
              </w:rPr>
              <w:t xml:space="preserve">61,3 min</w:t>
            </w:r>
          </w:p>
        </w:tc>
      </w:tr>
      <w:tr>
        <w:tc>
          <w:tcPr>
            <w:tcW w:type="dxa" w:w="4260"/>
            <w:tcMar>
              <w:top w:type="dxa" w:w="60"/>
              <w:left w:type="dxa" w:w="100"/>
              <w:bottom w:type="dxa" w:w="60"/>
              <w:right w:type="dxa" w:w="100"/>
            </w:tcMar>
          </w:tcPr>
          <w:p>
            <w:pPr>
              <w:spacing w:after="0"/>
            </w:pPr>
            <w:r>
              <w:rPr>
                <w:rFonts w:ascii="Arial" w:cs="Arial" w:eastAsia="Arial" w:hAnsi="Arial"/>
                <w:b w:val="false"/>
                <w:bCs w:val="false"/>
                <w:sz w:val="20"/>
                <w:szCs w:val="20"/>
              </w:rPr>
              <w:t xml:space="preserve">46 — OOD_FAR_encuentro_violento_02</w:t>
            </w:r>
          </w:p>
        </w:tc>
        <w:tc>
          <w:tcPr>
            <w:tcW w:type="dxa" w:w="2600"/>
            <w:tcMar>
              <w:top w:type="dxa" w:w="60"/>
              <w:left w:type="dxa" w:w="100"/>
              <w:bottom w:type="dxa" w:w="60"/>
              <w:right w:type="dxa" w:w="100"/>
            </w:tcMar>
          </w:tcPr>
          <w:p>
            <w:pPr>
              <w:spacing w:after="0"/>
            </w:pPr>
            <w:r>
              <w:rPr>
                <w:rFonts w:ascii="Arial" w:cs="Arial" w:eastAsia="Arial" w:hAnsi="Arial"/>
                <w:b w:val="false"/>
                <w:bCs w:val="false"/>
                <w:sz w:val="20"/>
                <w:szCs w:val="20"/>
              </w:rPr>
              <w:t xml:space="preserve">N=200, control</w:t>
            </w:r>
          </w:p>
        </w:tc>
        <w:tc>
          <w:tcPr>
            <w:tcW w:type="dxa" w:w="2500"/>
            <w:tcMar>
              <w:top w:type="dxa" w:w="60"/>
              <w:left w:type="dxa" w:w="100"/>
              <w:bottom w:type="dxa" w:w="60"/>
              <w:right w:type="dxa" w:w="100"/>
            </w:tcMar>
          </w:tcPr>
          <w:p>
            <w:pPr>
              <w:spacing w:after="0"/>
            </w:pPr>
            <w:r>
              <w:rPr>
                <w:rFonts w:ascii="Arial" w:cs="Arial" w:eastAsia="Arial" w:hAnsi="Arial"/>
                <w:b w:val="false"/>
                <w:bCs w:val="false"/>
                <w:sz w:val="20"/>
                <w:szCs w:val="20"/>
              </w:rPr>
              <w:t xml:space="preserve">51,7 min</w:t>
            </w:r>
          </w:p>
        </w:tc>
      </w:tr>
    </w:tbl>
    <w:p>
      <w:pPr>
        <w:spacing w:after="120"/>
        <w:jc w:val="both"/>
      </w:pPr>
      <w:r>
        <w:rPr>
          <w:rFonts w:ascii="Arial" w:cs="Arial" w:eastAsia="Arial" w:hAnsi="Arial"/>
          <w:sz w:val="22"/>
          <w:szCs w:val="22"/>
        </w:rPr>
        <w:t xml:space="preserve"/>
      </w:r>
    </w:p>
    <w:p>
      <w:pPr>
        <w:spacing w:after="120"/>
        <w:jc w:val="both"/>
      </w:pPr>
      <w:r>
        <w:rPr>
          <w:rFonts w:ascii="Arial" w:cs="Arial" w:eastAsia="Arial" w:hAnsi="Arial"/>
          <w:sz w:val="22"/>
          <w:szCs w:val="22"/>
        </w:rPr>
        <w:t xml:space="preserve">La asimetría de costo entre brazos a N = 200 (11,8 h el principal, 18,9 h el control) se atribuye plausiblemente a variabilidad de máquina entre sesiones de Colab — del orden de ±25 %, ya observada entre las dos corridas del stage 1 — dado que ambos brazos integran las mismas trayectorias con las mismas seeds; se registra como observación, no como propiedad del método.</w:t>
      </w:r>
    </w:p>
    <w:p>
      <w:pPr>
        <w:spacing w:after="120"/>
        <w:jc w:val="both"/>
      </w:pPr>
      <w:r>
        <w:rPr>
          <w:rFonts w:ascii="Arial" w:cs="Arial" w:eastAsia="Arial" w:hAnsi="Arial"/>
          <w:b/>
          <w:bCs/>
          <w:sz w:val="22"/>
          <w:szCs w:val="22"/>
        </w:rPr>
        <w:t xml:space="preserve">Implicación estructural: </w:t>
      </w:r>
      <w:r>
        <w:rPr>
          <w:rFonts w:ascii="Arial" w:cs="Arial" w:eastAsia="Arial" w:hAnsi="Arial"/>
          <w:sz w:val="22"/>
          <w:szCs w:val="22"/>
        </w:rPr>
        <w:t xml:space="preserve">el integrador (RK45 adaptativo, sin presupuesto de pasos ni timeout) no acota el costo por configuración. En este experimento todas las integraciones terminaron (n_failed = 0 en los tres N y ambos brazos), de modo que el método congelado digirió su propia cola pesada sin intervención; pero el costo no acotado es un hecho del diseño que cualquier etapa futura con N mayor o regímenes más violentos debe presupuestar, y cualquier acotamiento (presupuesto de pasos, timeout) constituiría una enmienda de método que requiere prerregistro.</w:t>
      </w:r>
    </w:p>
    <w:p>
      <w:pPr>
        <w:pStyle w:val="Heading1"/>
        <w:spacing w:after="160" w:before="280"/>
      </w:pPr>
      <w:r>
        <w:rPr>
          <w:rFonts w:ascii="Arial" w:cs="Arial" w:eastAsia="Arial" w:hAnsi="Arial"/>
          <w:b/>
          <w:bCs/>
          <w:sz w:val="28"/>
          <w:szCs w:val="28"/>
        </w:rPr>
        <w:t xml:space="preserve">8. Paquete de Evidencia</w:t>
      </w:r>
    </w:p>
    <w:p>
      <w:pPr>
        <w:spacing w:after="120"/>
        <w:jc w:val="both"/>
      </w:pPr>
      <w:r>
        <w:rPr>
          <w:rFonts w:ascii="Arial" w:cs="Arial" w:eastAsia="Arial" w:hAnsi="Arial"/>
          <w:sz w:val="22"/>
          <w:szCs w:val="22"/>
        </w:rPr>
        <w:t xml:space="preserve">Todo el material del experimento queda consolidado en MyDrive/mtps_c/:</w:t>
      </w:r>
    </w:p>
    <w:p>
      <w:pPr>
        <w:pStyle w:val="ListParagraph"/>
        <w:numPr>
          <w:ilvl w:val="0"/>
          <w:numId w:val="2"/>
        </w:numPr>
        <w:spacing w:after="100"/>
        <w:jc w:val="both"/>
      </w:pPr>
      <w:r>
        <w:rPr>
          <w:rFonts w:ascii="Arial" w:cs="Arial" w:eastAsia="Arial" w:hAnsi="Arial"/>
          <w:b/>
          <w:bCs/>
          <w:sz w:val="22"/>
          <w:szCs w:val="22"/>
        </w:rPr>
        <w:t xml:space="preserve">Datos: </w:t>
      </w:r>
      <w:r>
        <w:rPr>
          <w:rFonts w:ascii="Arial" w:cs="Arial" w:eastAsia="Arial" w:hAnsi="Arial"/>
          <w:sz w:val="22"/>
          <w:szCs w:val="22"/>
        </w:rPr>
        <w:t xml:space="preserve">partial_n50.pkl, partial_n100.pkl, partial_n200.pkl (agregados por stage) y tiempos_por_config.csv (240 filas, costo por configuración).</w:t>
      </w:r>
    </w:p>
    <w:p>
      <w:pPr>
        <w:pStyle w:val="ListParagraph"/>
        <w:numPr>
          <w:ilvl w:val="0"/>
          <w:numId w:val="2"/>
        </w:numPr>
        <w:spacing w:after="100"/>
        <w:jc w:val="both"/>
      </w:pPr>
      <w:r>
        <w:rPr>
          <w:rFonts w:ascii="Arial" w:cs="Arial" w:eastAsia="Arial" w:hAnsi="Arial"/>
          <w:b/>
          <w:bCs/>
          <w:sz w:val="22"/>
          <w:szCs w:val="22"/>
        </w:rPr>
        <w:t xml:space="preserve">Outputs de consolidación (stage 4): </w:t>
      </w:r>
      <w:r>
        <w:rPr>
          <w:rFonts w:ascii="Arial" w:cs="Arial" w:eastAsia="Arial" w:hAnsi="Arial"/>
          <w:sz w:val="22"/>
          <w:szCs w:val="22"/>
        </w:rPr>
        <w:t xml:space="preserve">mtps_c_v7_7a_metrics.txt, mtps_c_v7_7a_results.png, mtps_c_v7_7a_table_long.csv, mtps_c_v7_7a_table_cells.csv, mtps_c_v7_7a_trend.csv, mtps_c_v7_7a_configs.json.</w:t>
      </w:r>
    </w:p>
    <w:p>
      <w:pPr>
        <w:pStyle w:val="ListParagraph"/>
        <w:numPr>
          <w:ilvl w:val="0"/>
          <w:numId w:val="2"/>
        </w:numPr>
        <w:spacing w:after="100"/>
        <w:jc w:val="both"/>
      </w:pPr>
      <w:r>
        <w:rPr>
          <w:rFonts w:ascii="Arial" w:cs="Arial" w:eastAsia="Arial" w:hAnsi="Arial"/>
          <w:b/>
          <w:bCs/>
          <w:sz w:val="22"/>
          <w:szCs w:val="22"/>
        </w:rPr>
        <w:t xml:space="preserve">Código: </w:t>
      </w:r>
      <w:r>
        <w:rPr>
          <w:rFonts w:ascii="Arial" w:cs="Arial" w:eastAsia="Arial" w:hAnsi="Arial"/>
          <w:sz w:val="22"/>
          <w:szCs w:val="22"/>
        </w:rPr>
        <w:t xml:space="preserve">mtps_c_v7_7a_common.py (método congelado), stages 1–4 originales, runner de checkpoints y wrappers (enmienda operativa), con el candado de mount incorporado.</w:t>
      </w:r>
    </w:p>
    <w:p>
      <w:pPr>
        <w:pStyle w:val="ListParagraph"/>
        <w:numPr>
          <w:ilvl w:val="0"/>
          <w:numId w:val="2"/>
        </w:numPr>
        <w:spacing w:after="100"/>
        <w:jc w:val="both"/>
      </w:pPr>
      <w:r>
        <w:rPr>
          <w:rFonts w:ascii="Arial" w:cs="Arial" w:eastAsia="Arial" w:hAnsi="Arial"/>
          <w:b/>
          <w:bCs/>
          <w:sz w:val="22"/>
          <w:szCs w:val="22"/>
        </w:rPr>
        <w:t xml:space="preserve">Documentos: </w:t>
      </w:r>
      <w:r>
        <w:rPr>
          <w:rFonts w:ascii="Arial" w:cs="Arial" w:eastAsia="Arial" w:hAnsi="Arial"/>
          <w:sz w:val="22"/>
          <w:szCs w:val="22"/>
        </w:rPr>
        <w:t xml:space="preserve">Hoja de Ruta v7.7-a (prerregistro vinculante), Nota Técnica NT-01 (original, rev. 2 y rev. 3), LIT-00 (borrador 1), y este informe.</w:t>
      </w:r>
    </w:p>
    <w:p>
      <w:pPr>
        <w:spacing w:after="120"/>
        <w:jc w:val="both"/>
      </w:pPr>
      <w:r>
        <w:rPr>
          <w:rFonts w:ascii="Arial" w:cs="Arial" w:eastAsia="Arial" w:hAnsi="Arial"/>
          <w:sz w:val="22"/>
          <w:szCs w:val="22"/>
        </w:rPr>
        <w:t xml:space="preserve">Nota de coherencia documental: el metrics.txt menciona los nombres de los stages originales por estar esa línea fija en el consolidador congelado; los stages 2 y 3 corrieron con la variante de checkpoints declarada en la sección 3, con cómputo idéntico.</w:t>
      </w:r>
    </w:p>
    <w:p>
      <w:pPr>
        <w:pStyle w:val="Heading1"/>
        <w:spacing w:after="160" w:before="280"/>
      </w:pPr>
      <w:r>
        <w:rPr>
          <w:rFonts w:ascii="Arial" w:cs="Arial" w:eastAsia="Arial" w:hAnsi="Arial"/>
          <w:b/>
          <w:bCs/>
          <w:sz w:val="28"/>
          <w:szCs w:val="28"/>
        </w:rPr>
        <w:t xml:space="preserve">9. Traspasos a las Etapas Siguientes</w:t>
      </w:r>
    </w:p>
    <w:p>
      <w:pPr>
        <w:pStyle w:val="ListParagraph"/>
        <w:numPr>
          <w:ilvl w:val="0"/>
          <w:numId w:val="2"/>
        </w:numPr>
        <w:spacing w:after="100"/>
        <w:jc w:val="both"/>
      </w:pPr>
      <w:r>
        <w:rPr>
          <w:rFonts w:ascii="Arial" w:cs="Arial" w:eastAsia="Arial" w:hAnsi="Arial"/>
          <w:b/>
          <w:bCs/>
          <w:sz w:val="22"/>
          <w:szCs w:val="22"/>
        </w:rPr>
        <w:t xml:space="preserve">v7.7-b (sensibilidad de hiperparámetros, N = 50 baseline): </w:t>
      </w:r>
      <w:r>
        <w:rPr>
          <w:rFonts w:ascii="Arial" w:cs="Arial" w:eastAsia="Arial" w:hAnsi="Arial"/>
          <w:sz w:val="22"/>
          <w:szCs w:val="22"/>
        </w:rPr>
        <w:t xml:space="preserve">hipótesis prerregistrable del barrido de M con la redefinición de N_GT_CALIB como condición de informatividad (NT-01 rev. 3, § 5.3); hipótesis de densidades relativas para el empeoramiento del control (sección 4.2 de este informe), verificable con la table_long.csv existente; y el presupuesto de costo informado por el anexo de tiempos.</w:t>
      </w:r>
    </w:p>
    <w:p>
      <w:pPr>
        <w:pStyle w:val="ListParagraph"/>
        <w:numPr>
          <w:ilvl w:val="0"/>
          <w:numId w:val="2"/>
        </w:numPr>
        <w:spacing w:after="100"/>
        <w:jc w:val="both"/>
      </w:pPr>
      <w:r>
        <w:rPr>
          <w:rFonts w:ascii="Arial" w:cs="Arial" w:eastAsia="Arial" w:hAnsi="Arial"/>
          <w:b/>
          <w:bCs/>
          <w:sz w:val="22"/>
          <w:szCs w:val="22"/>
        </w:rPr>
        <w:t xml:space="preserve">v7.7-c (profundidad temporal / horizonte): </w:t>
      </w:r>
      <w:r>
        <w:rPr>
          <w:rFonts w:ascii="Arial" w:cs="Arial" w:eastAsia="Arial" w:hAnsi="Arial"/>
          <w:sz w:val="22"/>
          <w:szCs w:val="22"/>
        </w:rPr>
        <w:t xml:space="preserve">el problema de regiones válidas pero poco informativas en horizonte largo tiene literatura anclada en LIT-00 (§ 4.10, eCP).</w:t>
      </w:r>
    </w:p>
    <w:p>
      <w:pPr>
        <w:pStyle w:val="ListParagraph"/>
        <w:numPr>
          <w:ilvl w:val="0"/>
          <w:numId w:val="2"/>
        </w:numPr>
        <w:spacing w:after="100"/>
        <w:jc w:val="both"/>
      </w:pPr>
      <w:r>
        <w:rPr>
          <w:rFonts w:ascii="Arial" w:cs="Arial" w:eastAsia="Arial" w:hAnsi="Arial"/>
          <w:b/>
          <w:bCs/>
          <w:sz w:val="22"/>
          <w:szCs w:val="22"/>
        </w:rPr>
        <w:t xml:space="preserve">Posicionamiento del programa: </w:t>
      </w:r>
      <w:r>
        <w:rPr>
          <w:rFonts w:ascii="Arial" w:cs="Arial" w:eastAsia="Arial" w:hAnsi="Arial"/>
          <w:sz w:val="22"/>
          <w:szCs w:val="22"/>
        </w:rPr>
        <w:t xml:space="preserve">la frase de contribución, el mapa de vecinos y el estándar de verificación de citas viven en LIT-00; este informe no formula reclamos de novedad.</w:t>
      </w:r>
    </w:p>
    <w:p>
      <w:pPr>
        <w:pStyle w:val="Heading1"/>
        <w:spacing w:after="160" w:before="280"/>
      </w:pPr>
      <w:r>
        <w:rPr>
          <w:rFonts w:ascii="Arial" w:cs="Arial" w:eastAsia="Arial" w:hAnsi="Arial"/>
          <w:b/>
          <w:bCs/>
          <w:sz w:val="28"/>
          <w:szCs w:val="28"/>
        </w:rPr>
        <w:t xml:space="preserve">10. Cierre Formal</w:t>
      </w:r>
    </w:p>
    <w:p>
      <w:pPr>
        <w:spacing w:after="120"/>
        <w:jc w:val="both"/>
      </w:pPr>
      <w:r>
        <w:rPr>
          <w:rFonts w:ascii="Arial" w:cs="Arial" w:eastAsia="Arial" w:hAnsi="Arial"/>
          <w:sz w:val="22"/>
          <w:szCs w:val="22"/>
        </w:rPr>
        <w:t xml:space="preserve">v7.7-a queda cerrado con veredicto S10.1 — robustez al escalamiento — emitido mecánicamente por el consolidador prerregistrado, sin ajustes post hoc sobre el método, los criterios ni los datos. El método aux2b permanece congelado. La etapa de caracterización del programa continúa según la secuencia prerregistrada: v7.7-b (sensibilidad de hiperparámetros), v7.7-c (profundidad temporal), con la salvedad ya estipulada de que cualquier extensión más allá de v7.7 deberá quedar prerregistrada con su razón declarada, no avanzarse por inercia.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2026-08-11T19:10:20.778Z</dcterms:created>
  <dcterms:modified xsi:type="dcterms:W3CDTF">2026-08-11T19:10:20.793Z</dcterms:modified>
</cp:coreProperties>
</file>

<file path=docProps/custom.xml><?xml version="1.0" encoding="utf-8"?>
<Properties xmlns="http://schemas.openxmlformats.org/officeDocument/2006/custom-properties" xmlns:vt="http://schemas.openxmlformats.org/officeDocument/2006/docPropsVTypes"/>
</file>