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Informe de Resultados — MTPS-C v7.7-b</w:t>
      </w:r>
    </w:p>
    <w:p>
      <w:pPr>
        <w:spacing w:after="80"/>
        <w:jc w:val="center"/>
      </w:pPr>
      <w:r>
        <w:rPr>
          <w:i/>
          <w:iCs/>
          <w:sz w:val="23"/>
          <w:szCs w:val="23"/>
        </w:rPr>
        <w:t xml:space="preserve">Sensibilidad del Conjunto de Calibración — Barrido de M</w:t>
      </w:r>
    </w:p>
    <w:p>
      <w:pPr>
        <w:spacing w:after="160"/>
        <w:jc w:val="center"/>
      </w:pPr>
      <w:r>
        <w:rPr>
          <w:sz w:val="20"/>
          <w:szCs w:val="20"/>
        </w:rPr>
        <w:t xml:space="preserve">Motor de Trayectorias Probabilísticas para Sistemas Caóticos</w:t>
      </w:r>
    </w:p>
    <w:p>
      <w:pPr>
        <w:spacing w:after="160"/>
        <w:jc w:val="center"/>
      </w:pPr>
      <w:r>
        <w:rPr>
          <w:b/>
          <w:bCs/>
          <w:sz w:val="21"/>
          <w:szCs w:val="21"/>
        </w:rPr>
        <w:t xml:space="preserve">VEREDICTO MECÁNICO: S11.1 — GRILLA HABILITADA</w:t>
      </w:r>
    </w:p>
    <w:p>
      <w:pPr>
        <w:spacing w:after="60"/>
        <w:jc w:val="center"/>
      </w:pPr>
      <w:r>
        <w:rPr>
          <w:b/>
          <w:bCs/>
          <w:sz w:val="21"/>
          <w:szCs w:val="21"/>
        </w:rPr>
        <w:t xml:space="preserve">Joaquín Peñafiel</w:t>
      </w:r>
    </w:p>
    <w:p>
      <w:pPr>
        <w:spacing w:after="60"/>
        <w:jc w:val="center"/>
      </w:pPr>
      <w:r>
        <w:rPr>
          <w:sz w:val="20"/>
          <w:szCs w:val="20"/>
        </w:rPr>
        <w:t xml:space="preserve">Chile · 12 de septiembre de 2026</w:t>
      </w:r>
    </w:p>
    <w:p>
      <w:pPr>
        <w:spacing w:after="200"/>
        <w:jc w:val="center"/>
      </w:pPr>
      <w:r>
        <w:rPr>
          <w:i/>
          <w:iCs/>
          <w:sz w:val="19"/>
          <w:szCs w:val="19"/>
        </w:rPr>
        <w:t xml:space="preserve">Dependencias: Hoja de Ruta v7.7-b Borrador 8 · Acta 01 + Enmienda 01 · Anexo C7 · NT-01 rev. 4 · Informe v7.7-a</w:t>
      </w:r>
    </w:p>
    <w:p>
      <w:pPr>
        <w:pBdr>
          <w:bottom w:val="single" w:color="AAAAAA" w:sz="6"/>
        </w:pBdr>
        <w:spacing w:after="160"/>
      </w:pPr>
    </w:p>
    <w:p>
      <w:pPr>
        <w:pStyle w:val="Heading1"/>
        <w:spacing w:after="140" w:before="280"/>
      </w:pPr>
      <w:r>
        <w:t xml:space="preserve">1. Resumen ejecutivo</w:t>
      </w:r>
    </w:p>
    <w:p>
      <w:pPr>
        <w:spacing w:after="120"/>
      </w:pPr>
      <w:r>
        <w:t xml:space="preserve">El experimento de sensibilidad del conjunto de calibración cerró en el escenario S11.1, el más favorable de los tres prerregistrados. Las tres puertas de verificación pasaron y los seis criterios se cumplieron en cada valor de M dentro de su alcance declarado. El veredicto fue emitido por la función de clasificación mecánica del consolidador, no por interpretación.</w:t>
      </w:r>
    </w:p>
    <w:p>
      <w:pPr>
        <w:spacing w:after="120"/>
      </w:pPr>
      <w:r>
        <w:t xml:space="preserve">La hipótesis registrada en la § 5.3 de la NT-01 queda confirmada: el colapso de los niveles nominales 0,90 y 0,95 al mismo umbral dependía del tamaño del conjunto de calibración por configuración, no del tamaño del ensemble. Al elevar M de 25 a 40 y a 50, con la regla n_calib = piso(M/2), los dos niveles se separan y la grilla completa de cinco niveles queda habilitada para el programa.</w:t>
      </w:r>
    </w:p>
    <w:p>
      <w:pPr>
        <w:spacing w:after="120"/>
      </w:pPr>
      <w:r>
        <w:t xml:space="preserve">Los tres resultados de fondo, en orden de importancia:</w:t>
      </w:r>
    </w:p>
    <w:p>
      <w:pPr>
        <w:pStyle w:val="ListParagraph"/>
        <w:numPr>
          <w:ilvl w:val="0"/>
          <w:numId w:val="1"/>
        </w:numPr>
        <w:spacing w:after="120"/>
      </w:pPr>
      <w:r>
        <w:t xml:space="preserve">La cobertura realizada cae sobre su valor esperado en los quince pares (nivel, M), con desvíos entre −1,01σ y +1,18σ, todos holgadamente dentro de la banda vinculante de ±2 pp.</w:t>
      </w:r>
    </w:p>
    <w:p>
      <w:pPr>
        <w:pStyle w:val="ListParagraph"/>
        <w:numPr>
          <w:ilvl w:val="0"/>
          <w:numId w:val="1"/>
        </w:numPr>
        <w:spacing w:after="120"/>
      </w:pPr>
      <w:r>
        <w:t xml:space="preserve">El nivel alto se habilitó sin costo de agudeza. Las regiones al nivel 0,95 en M = 40 y M = 50 son incluso ligeramente más pequeñas que las del nivel colapsado en M = 25, pese a cubrir entre tres y cuatro puntos porcentuales más.</w:t>
      </w:r>
    </w:p>
    <w:p>
      <w:pPr>
        <w:pStyle w:val="ListParagraph"/>
        <w:numPr>
          <w:ilvl w:val="0"/>
          <w:numId w:val="1"/>
        </w:numPr>
        <w:spacing w:after="120"/>
      </w:pPr>
      <w:r>
        <w:t xml:space="preserve">El brazo de control falló como control negativo en ambos valores de M donde se corrió, y su comportamiento resultó invariante a M, tal como el diseño predecía.</w:t>
      </w:r>
    </w:p>
    <w:p>
      <w:pPr>
        <w:pStyle w:val="Heading1"/>
        <w:spacing w:after="140" w:before="280"/>
      </w:pPr>
      <w:r>
        <w:t xml:space="preserve">2. Diseño y cadena documental</w:t>
      </w:r>
    </w:p>
    <w:p>
      <w:pPr>
        <w:spacing w:after="120"/>
      </w:pPr>
      <w:r>
        <w:t xml:space="preserve">El experimento se ejecutó bajo prerregistro congelado. La variable única fue M ∈ {25, 40, 50}; el tamaño del ensemble permaneció fijo en N = 50, y k y ε quedaron congelados. La única enmienda de método fue el reemplazo de la constante N_GT_CALIB = 12 por la regla n_calib = piso(M/2), que es retrocompatible: con M = 25 devuelve 12, idéntico al método de v7.7-a, y por eso ese brazo funciona como puerta de regresión.</w:t>
      </w:r>
    </w:p>
    <w:p>
      <w:pPr>
        <w:spacing w:after="120"/>
      </w:pPr>
      <w:r>
        <w:t xml:space="preserve">El prerregistro atravesó siete rondas de auditoría con redacción y revisión alternadas, y su congelamiento quedó registrado en el Acta 01, ampliada por la Enmienda 01 y completada por el Anexo C7, que registró los cuatro artefactos de código con sus SHA-256 antes de autorizar la corrida.</w:t>
      </w:r>
    </w:p>
    <w:p>
      <w:pPr>
        <w:spacing w:after="120"/>
      </w:pPr>
      <w:r>
        <w:t xml:space="preserve">El dataset fue el mismo de v7.7-a: 60 configuraciones con las mismas semillas, veinte en distribución, veinte OOD cercano y veinte OOD lejano.</w:t>
      </w:r>
    </w:p>
    <w:p>
      <w:pPr>
        <w:pStyle w:val="Heading1"/>
        <w:spacing w:after="140" w:before="280"/>
      </w:pPr>
      <w:r>
        <w:t xml:space="preserve">3. Puertas de verificación</w:t>
      </w:r>
    </w:p>
    <w:p>
      <w:pPr>
        <w:spacing w:after="120"/>
      </w:pPr>
      <w:r>
        <w:t xml:space="preserve">Las tres puertas pasaron en el orden establecido por la condición C8 del acta. Dos de sus resultados merecen registro por encima del hecho de haber pasado.</w:t>
      </w:r>
    </w:p>
    <w:p>
      <w:pPr>
        <w:spacing w:after="120"/>
      </w:pPr>
      <w:r>
        <w:rPr>
          <w:b/>
          <w:bCs/>
        </w:rPr>
        <w:t xml:space="preserve">G11 reprodujo v7.7-a con diferencia exactamente cero. </w:t>
      </w:r>
      <w:r>
        <w:t xml:space="preserve">La comparación por configuración y por celda contra mtps_c_v7_7a_table_long.csv arrojó max_dif = 0,000e+00 sobre 15.000 celdas del brazo principal y 3.000 del de control, con tolerancia declarada de 1e-12. No es concordancia dentro de tolerancia: es igualdad bit a bit. La enmienda de método es retrocompatible en sentido estricto y el código de v7.7-b reproduce el método congelado.</w:t>
      </w:r>
    </w:p>
    <w:p>
      <w:pPr>
        <w:spacing w:after="120"/>
      </w:pPr>
      <w:r>
        <w:rPr>
          <w:b/>
          <w:bCs/>
        </w:rPr>
        <w:t xml:space="preserve">G13 reprodujo el hash canónico del dataset un mes después y en otro entorno. </w:t>
      </w:r>
      <w:r>
        <w:t xml:space="preserve">El experimento se ejecutó en Python 3.13.15 con numpy 2.1.3 sobre Linux, mientras que el hash canónico se había calculado en agosto en un entorno distinto. Que la serialización estable devuelva b2b0937a…efedf47 en ambos casos demuestra que la generación determinista del dataset es portable entre versiones y sesiones, y no solo estable dentro de una misma corrida. Esa portabilidad es lo que hace comparables los tres brazos.</w:t>
      </w:r>
    </w:p>
    <w:p>
      <w:pPr>
        <w:spacing w:after="120"/>
      </w:pPr>
      <w:r>
        <w:t xml:space="preserve">G12 verificó los índices de umbral prerregistrados antes de evaluar en M = 40 y M = 50, y no registró desviaciones.</w:t>
      </w:r>
    </w:p>
    <w:p>
      <w:pPr>
        <w:pStyle w:val="Heading1"/>
        <w:spacing w:after="140" w:before="280"/>
      </w:pPr>
      <w:r>
        <w:t xml:space="preserve">4. Resultados confirmatorios por M</w:t>
      </w:r>
    </w:p>
    <w:p>
      <w:pPr>
        <w:spacing w:after="120"/>
      </w:pPr>
      <w:r>
        <w:t xml:space="preserve">Cobertura realizada frente a la cobertura esperada de la aritmética conformal, con el desvío en puntos porcentuales y en unidades del error estándar bootstrap por nivel. La banda vinculante de C11.b es ±2 pp.</w:t>
      </w:r>
    </w:p>
    <w:p>
      <w:pPr>
        <w:spacing w:after="160"/>
      </w:pPr>
    </w:p>
    <w:p>
      <w:pPr>
        <w:spacing w:after="120"/>
      </w:pPr>
      <w:r>
        <w:rPr>
          <w:b/>
          <w:bCs/>
        </w:rPr>
        <w:t xml:space="preserve">M = 25 (n_calib = 12) — brazo de regresión</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900"/>
        <w:gridCol w:w="1450"/>
        <w:gridCol w:w="1450"/>
        <w:gridCol w:w="1450"/>
        <w:gridCol w:w="1400"/>
        <w:gridCol w:w="1350"/>
      </w:tblGrid>
      <w:tr>
        <w:tc>
          <w:tcPr>
            <w:tcW w:type="dxa" w:w="900"/>
            <w:shd w:fill="E8E8E8" w:val="clear"/>
            <w:tcMar>
              <w:top w:type="dxa" w:w="50"/>
              <w:left w:type="dxa" w:w="80"/>
              <w:bottom w:type="dxa" w:w="50"/>
              <w:right w:type="dxa" w:w="80"/>
            </w:tcMar>
          </w:tcPr>
          <w:p>
            <w:pPr>
              <w:jc w:val="center"/>
            </w:pPr>
            <w:r>
              <w:rPr>
                <w:b/>
                <w:bCs/>
                <w:sz w:val="15"/>
                <w:szCs w:val="15"/>
              </w:rPr>
              <w:t xml:space="preserve">Nivel</w:t>
            </w:r>
          </w:p>
        </w:tc>
        <w:tc>
          <w:tcPr>
            <w:tcW w:type="dxa" w:w="1450"/>
            <w:shd w:fill="E8E8E8" w:val="clear"/>
            <w:tcMar>
              <w:top w:type="dxa" w:w="50"/>
              <w:left w:type="dxa" w:w="80"/>
              <w:bottom w:type="dxa" w:w="50"/>
              <w:right w:type="dxa" w:w="80"/>
            </w:tcMar>
          </w:tcPr>
          <w:p>
            <w:pPr>
              <w:jc w:val="center"/>
            </w:pPr>
            <w:r>
              <w:rPr>
                <w:b/>
                <w:bCs/>
                <w:sz w:val="15"/>
                <w:szCs w:val="15"/>
              </w:rPr>
              <w:t xml:space="preserve">Cov. real</w:t>
            </w:r>
          </w:p>
        </w:tc>
        <w:tc>
          <w:tcPr>
            <w:tcW w:type="dxa" w:w="1450"/>
            <w:shd w:fill="E8E8E8" w:val="clear"/>
            <w:tcMar>
              <w:top w:type="dxa" w:w="50"/>
              <w:left w:type="dxa" w:w="80"/>
              <w:bottom w:type="dxa" w:w="50"/>
              <w:right w:type="dxa" w:w="80"/>
            </w:tcMar>
          </w:tcPr>
          <w:p>
            <w:pPr>
              <w:jc w:val="center"/>
            </w:pPr>
            <w:r>
              <w:rPr>
                <w:b/>
                <w:bCs/>
                <w:sz w:val="15"/>
                <w:szCs w:val="15"/>
              </w:rPr>
              <w:t xml:space="preserve">Esperado</w:t>
            </w:r>
          </w:p>
        </w:tc>
        <w:tc>
          <w:tcPr>
            <w:tcW w:type="dxa" w:w="1450"/>
            <w:shd w:fill="E8E8E8" w:val="clear"/>
            <w:tcMar>
              <w:top w:type="dxa" w:w="50"/>
              <w:left w:type="dxa" w:w="80"/>
              <w:bottom w:type="dxa" w:w="50"/>
              <w:right w:type="dxa" w:w="80"/>
            </w:tcMar>
          </w:tcPr>
          <w:p>
            <w:pPr>
              <w:jc w:val="center"/>
            </w:pPr>
            <w:r>
              <w:rPr>
                <w:b/>
                <w:bCs/>
                <w:sz w:val="15"/>
                <w:szCs w:val="15"/>
              </w:rPr>
              <w:t xml:space="preserve">Desvío pp</w:t>
            </w:r>
          </w:p>
        </w:tc>
        <w:tc>
          <w:tcPr>
            <w:tcW w:type="dxa" w:w="1400"/>
            <w:shd w:fill="E8E8E8" w:val="clear"/>
            <w:tcMar>
              <w:top w:type="dxa" w:w="50"/>
              <w:left w:type="dxa" w:w="80"/>
              <w:bottom w:type="dxa" w:w="50"/>
              <w:right w:type="dxa" w:w="80"/>
            </w:tcMar>
          </w:tcPr>
          <w:p>
            <w:pPr>
              <w:jc w:val="center"/>
            </w:pPr>
            <w:r>
              <w:rPr>
                <w:b/>
                <w:bCs/>
                <w:sz w:val="15"/>
                <w:szCs w:val="15"/>
              </w:rPr>
              <w:t xml:space="preserve">Desvío σ</w:t>
            </w:r>
          </w:p>
        </w:tc>
        <w:tc>
          <w:tcPr>
            <w:tcW w:type="dxa" w:w="1350"/>
            <w:shd w:fill="E8E8E8" w:val="clear"/>
            <w:tcMar>
              <w:top w:type="dxa" w:w="50"/>
              <w:left w:type="dxa" w:w="80"/>
              <w:bottom w:type="dxa" w:w="50"/>
              <w:right w:type="dxa" w:w="80"/>
            </w:tcMar>
          </w:tcPr>
          <w:p>
            <w:pPr>
              <w:jc w:val="center"/>
            </w:pPr>
            <w:r>
              <w:rPr>
                <w:b/>
                <w:bCs/>
                <w:sz w:val="15"/>
                <w:szCs w:val="15"/>
              </w:rPr>
              <w:t xml:space="preserve">C11.b</w:t>
            </w:r>
          </w:p>
        </w:tc>
      </w:tr>
      <w:tr>
        <w:tc>
          <w:tcPr>
            <w:tcW w:type="dxa" w:w="900"/>
            <w:tcMar>
              <w:top w:type="dxa" w:w="50"/>
              <w:left w:type="dxa" w:w="80"/>
              <w:bottom w:type="dxa" w:w="50"/>
              <w:right w:type="dxa" w:w="80"/>
            </w:tcMar>
          </w:tcPr>
          <w:p>
            <w:pPr>
              <w:jc w:val="center"/>
            </w:pPr>
            <w:r>
              <w:rPr>
                <w:b w:val="false"/>
                <w:bCs w:val="false"/>
                <w:sz w:val="15"/>
                <w:szCs w:val="15"/>
              </w:rPr>
              <w:t xml:space="preserve">0,30</w:t>
            </w:r>
          </w:p>
        </w:tc>
        <w:tc>
          <w:tcPr>
            <w:tcW w:type="dxa" w:w="1450"/>
            <w:tcMar>
              <w:top w:type="dxa" w:w="50"/>
              <w:left w:type="dxa" w:w="80"/>
              <w:bottom w:type="dxa" w:w="50"/>
              <w:right w:type="dxa" w:w="80"/>
            </w:tcMar>
          </w:tcPr>
          <w:p>
            <w:pPr>
              <w:jc w:val="center"/>
            </w:pPr>
            <w:r>
              <w:rPr>
                <w:b w:val="false"/>
                <w:bCs w:val="false"/>
                <w:sz w:val="15"/>
                <w:szCs w:val="15"/>
              </w:rPr>
              <w:t xml:space="preserve">30,57 %</w:t>
            </w:r>
          </w:p>
        </w:tc>
        <w:tc>
          <w:tcPr>
            <w:tcW w:type="dxa" w:w="1450"/>
            <w:tcMar>
              <w:top w:type="dxa" w:w="50"/>
              <w:left w:type="dxa" w:w="80"/>
              <w:bottom w:type="dxa" w:w="50"/>
              <w:right w:type="dxa" w:w="80"/>
            </w:tcMar>
          </w:tcPr>
          <w:p>
            <w:pPr>
              <w:jc w:val="center"/>
            </w:pPr>
            <w:r>
              <w:rPr>
                <w:b w:val="false"/>
                <w:bCs w:val="false"/>
                <w:sz w:val="15"/>
                <w:szCs w:val="15"/>
              </w:rPr>
              <w:t xml:space="preserve">30,77 %</w:t>
            </w:r>
          </w:p>
        </w:tc>
        <w:tc>
          <w:tcPr>
            <w:tcW w:type="dxa" w:w="1450"/>
            <w:tcMar>
              <w:top w:type="dxa" w:w="50"/>
              <w:left w:type="dxa" w:w="80"/>
              <w:bottom w:type="dxa" w:w="50"/>
              <w:right w:type="dxa" w:w="80"/>
            </w:tcMar>
          </w:tcPr>
          <w:p>
            <w:pPr>
              <w:jc w:val="center"/>
            </w:pPr>
            <w:r>
              <w:rPr>
                <w:b w:val="false"/>
                <w:bCs w:val="false"/>
                <w:sz w:val="15"/>
                <w:szCs w:val="15"/>
              </w:rPr>
              <w:t xml:space="preserve">−0,20</w:t>
            </w:r>
          </w:p>
        </w:tc>
        <w:tc>
          <w:tcPr>
            <w:tcW w:type="dxa" w:w="1400"/>
            <w:tcMar>
              <w:top w:type="dxa" w:w="50"/>
              <w:left w:type="dxa" w:w="80"/>
              <w:bottom w:type="dxa" w:w="50"/>
              <w:right w:type="dxa" w:w="80"/>
            </w:tcMar>
          </w:tcPr>
          <w:p>
            <w:pPr>
              <w:jc w:val="center"/>
            </w:pPr>
            <w:r>
              <w:rPr>
                <w:b w:val="false"/>
                <w:bCs w:val="false"/>
                <w:sz w:val="15"/>
                <w:szCs w:val="15"/>
              </w:rPr>
              <w:t xml:space="preserve">−0,37</w:t>
            </w:r>
          </w:p>
        </w:tc>
        <w:tc>
          <w:tcPr>
            <w:tcW w:type="dxa" w:w="1350"/>
            <w:tcMar>
              <w:top w:type="dxa" w:w="50"/>
              <w:left w:type="dxa" w:w="80"/>
              <w:bottom w:type="dxa" w:w="50"/>
              <w:right w:type="dxa" w:w="80"/>
            </w:tcMar>
          </w:tcPr>
          <w:p>
            <w:pPr>
              <w:jc w:val="center"/>
            </w:pPr>
            <w:r>
              <w:rPr>
                <w:b w:val="false"/>
                <w:bCs w:val="false"/>
                <w:sz w:val="15"/>
                <w:szCs w:val="15"/>
              </w:rPr>
              <w:t xml:space="preserve">OK</w:t>
            </w:r>
          </w:p>
        </w:tc>
      </w:tr>
      <w:tr>
        <w:tc>
          <w:tcPr>
            <w:tcW w:type="dxa" w:w="900"/>
            <w:tcMar>
              <w:top w:type="dxa" w:w="50"/>
              <w:left w:type="dxa" w:w="80"/>
              <w:bottom w:type="dxa" w:w="50"/>
              <w:right w:type="dxa" w:w="80"/>
            </w:tcMar>
          </w:tcPr>
          <w:p>
            <w:pPr>
              <w:jc w:val="center"/>
            </w:pPr>
            <w:r>
              <w:rPr>
                <w:b w:val="false"/>
                <w:bCs w:val="false"/>
                <w:sz w:val="15"/>
                <w:szCs w:val="15"/>
              </w:rPr>
              <w:t xml:space="preserve">0,50</w:t>
            </w:r>
          </w:p>
        </w:tc>
        <w:tc>
          <w:tcPr>
            <w:tcW w:type="dxa" w:w="1450"/>
            <w:tcMar>
              <w:top w:type="dxa" w:w="50"/>
              <w:left w:type="dxa" w:w="80"/>
              <w:bottom w:type="dxa" w:w="50"/>
              <w:right w:type="dxa" w:w="80"/>
            </w:tcMar>
          </w:tcPr>
          <w:p>
            <w:pPr>
              <w:jc w:val="center"/>
            </w:pPr>
            <w:r>
              <w:rPr>
                <w:b w:val="false"/>
                <w:bCs w:val="false"/>
                <w:sz w:val="15"/>
                <w:szCs w:val="15"/>
              </w:rPr>
              <w:t xml:space="preserve">54,25 %</w:t>
            </w:r>
          </w:p>
        </w:tc>
        <w:tc>
          <w:tcPr>
            <w:tcW w:type="dxa" w:w="1450"/>
            <w:tcMar>
              <w:top w:type="dxa" w:w="50"/>
              <w:left w:type="dxa" w:w="80"/>
              <w:bottom w:type="dxa" w:w="50"/>
              <w:right w:type="dxa" w:w="80"/>
            </w:tcMar>
          </w:tcPr>
          <w:p>
            <w:pPr>
              <w:jc w:val="center"/>
            </w:pPr>
            <w:r>
              <w:rPr>
                <w:b w:val="false"/>
                <w:bCs w:val="false"/>
                <w:sz w:val="15"/>
                <w:szCs w:val="15"/>
              </w:rPr>
              <w:t xml:space="preserve">53,85 %</w:t>
            </w:r>
          </w:p>
        </w:tc>
        <w:tc>
          <w:tcPr>
            <w:tcW w:type="dxa" w:w="1450"/>
            <w:tcMar>
              <w:top w:type="dxa" w:w="50"/>
              <w:left w:type="dxa" w:w="80"/>
              <w:bottom w:type="dxa" w:w="50"/>
              <w:right w:type="dxa" w:w="80"/>
            </w:tcMar>
          </w:tcPr>
          <w:p>
            <w:pPr>
              <w:jc w:val="center"/>
            </w:pPr>
            <w:r>
              <w:rPr>
                <w:b w:val="false"/>
                <w:bCs w:val="false"/>
                <w:sz w:val="15"/>
                <w:szCs w:val="15"/>
              </w:rPr>
              <w:t xml:space="preserve">+0,40</w:t>
            </w:r>
          </w:p>
        </w:tc>
        <w:tc>
          <w:tcPr>
            <w:tcW w:type="dxa" w:w="1400"/>
            <w:tcMar>
              <w:top w:type="dxa" w:w="50"/>
              <w:left w:type="dxa" w:w="80"/>
              <w:bottom w:type="dxa" w:w="50"/>
              <w:right w:type="dxa" w:w="80"/>
            </w:tcMar>
          </w:tcPr>
          <w:p>
            <w:pPr>
              <w:jc w:val="center"/>
            </w:pPr>
            <w:r>
              <w:rPr>
                <w:b w:val="false"/>
                <w:bCs w:val="false"/>
                <w:sz w:val="15"/>
                <w:szCs w:val="15"/>
              </w:rPr>
              <w:t xml:space="preserve">+0,76</w:t>
            </w:r>
          </w:p>
        </w:tc>
        <w:tc>
          <w:tcPr>
            <w:tcW w:type="dxa" w:w="1350"/>
            <w:tcMar>
              <w:top w:type="dxa" w:w="50"/>
              <w:left w:type="dxa" w:w="80"/>
              <w:bottom w:type="dxa" w:w="50"/>
              <w:right w:type="dxa" w:w="80"/>
            </w:tcMar>
          </w:tcPr>
          <w:p>
            <w:pPr>
              <w:jc w:val="center"/>
            </w:pPr>
            <w:r>
              <w:rPr>
                <w:b w:val="false"/>
                <w:bCs w:val="false"/>
                <w:sz w:val="15"/>
                <w:szCs w:val="15"/>
              </w:rPr>
              <w:t xml:space="preserve">OK</w:t>
            </w:r>
          </w:p>
        </w:tc>
      </w:tr>
      <w:tr>
        <w:tc>
          <w:tcPr>
            <w:tcW w:type="dxa" w:w="900"/>
            <w:tcMar>
              <w:top w:type="dxa" w:w="50"/>
              <w:left w:type="dxa" w:w="80"/>
              <w:bottom w:type="dxa" w:w="50"/>
              <w:right w:type="dxa" w:w="80"/>
            </w:tcMar>
          </w:tcPr>
          <w:p>
            <w:pPr>
              <w:jc w:val="center"/>
            </w:pPr>
            <w:r>
              <w:rPr>
                <w:b w:val="false"/>
                <w:bCs w:val="false"/>
                <w:sz w:val="15"/>
                <w:szCs w:val="15"/>
              </w:rPr>
              <w:t xml:space="preserve">0,80</w:t>
            </w:r>
          </w:p>
        </w:tc>
        <w:tc>
          <w:tcPr>
            <w:tcW w:type="dxa" w:w="1450"/>
            <w:tcMar>
              <w:top w:type="dxa" w:w="50"/>
              <w:left w:type="dxa" w:w="80"/>
              <w:bottom w:type="dxa" w:w="50"/>
              <w:right w:type="dxa" w:w="80"/>
            </w:tcMar>
          </w:tcPr>
          <w:p>
            <w:pPr>
              <w:jc w:val="center"/>
            </w:pPr>
            <w:r>
              <w:rPr>
                <w:b w:val="false"/>
                <w:bCs w:val="false"/>
                <w:sz w:val="15"/>
                <w:szCs w:val="15"/>
              </w:rPr>
              <w:t xml:space="preserve">84,25 %</w:t>
            </w:r>
          </w:p>
        </w:tc>
        <w:tc>
          <w:tcPr>
            <w:tcW w:type="dxa" w:w="1450"/>
            <w:tcMar>
              <w:top w:type="dxa" w:w="50"/>
              <w:left w:type="dxa" w:w="80"/>
              <w:bottom w:type="dxa" w:w="50"/>
              <w:right w:type="dxa" w:w="80"/>
            </w:tcMar>
          </w:tcPr>
          <w:p>
            <w:pPr>
              <w:jc w:val="center"/>
            </w:pPr>
            <w:r>
              <w:rPr>
                <w:b w:val="false"/>
                <w:bCs w:val="false"/>
                <w:sz w:val="15"/>
                <w:szCs w:val="15"/>
              </w:rPr>
              <w:t xml:space="preserve">84,62 %</w:t>
            </w:r>
          </w:p>
        </w:tc>
        <w:tc>
          <w:tcPr>
            <w:tcW w:type="dxa" w:w="1450"/>
            <w:tcMar>
              <w:top w:type="dxa" w:w="50"/>
              <w:left w:type="dxa" w:w="80"/>
              <w:bottom w:type="dxa" w:w="50"/>
              <w:right w:type="dxa" w:w="80"/>
            </w:tcMar>
          </w:tcPr>
          <w:p>
            <w:pPr>
              <w:jc w:val="center"/>
            </w:pPr>
            <w:r>
              <w:rPr>
                <w:b w:val="false"/>
                <w:bCs w:val="false"/>
                <w:sz w:val="15"/>
                <w:szCs w:val="15"/>
              </w:rPr>
              <w:t xml:space="preserve">−0,37</w:t>
            </w:r>
          </w:p>
        </w:tc>
        <w:tc>
          <w:tcPr>
            <w:tcW w:type="dxa" w:w="1400"/>
            <w:tcMar>
              <w:top w:type="dxa" w:w="50"/>
              <w:left w:type="dxa" w:w="80"/>
              <w:bottom w:type="dxa" w:w="50"/>
              <w:right w:type="dxa" w:w="80"/>
            </w:tcMar>
          </w:tcPr>
          <w:p>
            <w:pPr>
              <w:jc w:val="center"/>
            </w:pPr>
            <w:r>
              <w:rPr>
                <w:b w:val="false"/>
                <w:bCs w:val="false"/>
                <w:sz w:val="15"/>
                <w:szCs w:val="15"/>
              </w:rPr>
              <w:t xml:space="preserve">−0,82</w:t>
            </w:r>
          </w:p>
        </w:tc>
        <w:tc>
          <w:tcPr>
            <w:tcW w:type="dxa" w:w="1350"/>
            <w:tcMar>
              <w:top w:type="dxa" w:w="50"/>
              <w:left w:type="dxa" w:w="80"/>
              <w:bottom w:type="dxa" w:w="50"/>
              <w:right w:type="dxa" w:w="80"/>
            </w:tcMar>
          </w:tcPr>
          <w:p>
            <w:pPr>
              <w:jc w:val="center"/>
            </w:pPr>
            <w:r>
              <w:rPr>
                <w:b w:val="false"/>
                <w:bCs w:val="false"/>
                <w:sz w:val="15"/>
                <w:szCs w:val="15"/>
              </w:rPr>
              <w:t xml:space="preserve">OK</w:t>
            </w:r>
          </w:p>
        </w:tc>
      </w:tr>
      <w:tr>
        <w:tc>
          <w:tcPr>
            <w:tcW w:type="dxa" w:w="900"/>
            <w:tcMar>
              <w:top w:type="dxa" w:w="50"/>
              <w:left w:type="dxa" w:w="80"/>
              <w:bottom w:type="dxa" w:w="50"/>
              <w:right w:type="dxa" w:w="80"/>
            </w:tcMar>
          </w:tcPr>
          <w:p>
            <w:pPr>
              <w:jc w:val="center"/>
            </w:pPr>
            <w:r>
              <w:rPr>
                <w:b w:val="false"/>
                <w:bCs w:val="false"/>
                <w:sz w:val="15"/>
                <w:szCs w:val="15"/>
              </w:rPr>
              <w:t xml:space="preserve">0,90</w:t>
            </w:r>
          </w:p>
        </w:tc>
        <w:tc>
          <w:tcPr>
            <w:tcW w:type="dxa" w:w="1450"/>
            <w:tcMar>
              <w:top w:type="dxa" w:w="50"/>
              <w:left w:type="dxa" w:w="80"/>
              <w:bottom w:type="dxa" w:w="50"/>
              <w:right w:type="dxa" w:w="80"/>
            </w:tcMar>
          </w:tcPr>
          <w:p>
            <w:pPr>
              <w:jc w:val="center"/>
            </w:pPr>
            <w:r>
              <w:rPr>
                <w:b w:val="false"/>
                <w:bCs w:val="false"/>
                <w:sz w:val="15"/>
                <w:szCs w:val="15"/>
              </w:rPr>
              <w:t xml:space="preserve">92,06 %</w:t>
            </w:r>
          </w:p>
        </w:tc>
        <w:tc>
          <w:tcPr>
            <w:tcW w:type="dxa" w:w="1450"/>
            <w:tcMar>
              <w:top w:type="dxa" w:w="50"/>
              <w:left w:type="dxa" w:w="80"/>
              <w:bottom w:type="dxa" w:w="50"/>
              <w:right w:type="dxa" w:w="80"/>
            </w:tcMar>
          </w:tcPr>
          <w:p>
            <w:pPr>
              <w:jc w:val="center"/>
            </w:pPr>
            <w:r>
              <w:rPr>
                <w:b w:val="false"/>
                <w:bCs w:val="false"/>
                <w:sz w:val="15"/>
                <w:szCs w:val="15"/>
              </w:rPr>
              <w:t xml:space="preserve">92,31 %</w:t>
            </w:r>
          </w:p>
        </w:tc>
        <w:tc>
          <w:tcPr>
            <w:tcW w:type="dxa" w:w="1450"/>
            <w:tcMar>
              <w:top w:type="dxa" w:w="50"/>
              <w:left w:type="dxa" w:w="80"/>
              <w:bottom w:type="dxa" w:w="50"/>
              <w:right w:type="dxa" w:w="80"/>
            </w:tcMar>
          </w:tcPr>
          <w:p>
            <w:pPr>
              <w:jc w:val="center"/>
            </w:pPr>
            <w:r>
              <w:rPr>
                <w:b w:val="false"/>
                <w:bCs w:val="false"/>
                <w:sz w:val="15"/>
                <w:szCs w:val="15"/>
              </w:rPr>
              <w:t xml:space="preserve">−0,25</w:t>
            </w:r>
          </w:p>
        </w:tc>
        <w:tc>
          <w:tcPr>
            <w:tcW w:type="dxa" w:w="1400"/>
            <w:tcMar>
              <w:top w:type="dxa" w:w="50"/>
              <w:left w:type="dxa" w:w="80"/>
              <w:bottom w:type="dxa" w:w="50"/>
              <w:right w:type="dxa" w:w="80"/>
            </w:tcMar>
          </w:tcPr>
          <w:p>
            <w:pPr>
              <w:jc w:val="center"/>
            </w:pPr>
            <w:r>
              <w:rPr>
                <w:b w:val="false"/>
                <w:bCs w:val="false"/>
                <w:sz w:val="15"/>
                <w:szCs w:val="15"/>
              </w:rPr>
              <w:t xml:space="preserve">−0,71</w:t>
            </w:r>
          </w:p>
        </w:tc>
        <w:tc>
          <w:tcPr>
            <w:tcW w:type="dxa" w:w="1350"/>
            <w:tcMar>
              <w:top w:type="dxa" w:w="50"/>
              <w:left w:type="dxa" w:w="80"/>
              <w:bottom w:type="dxa" w:w="50"/>
              <w:right w:type="dxa" w:w="80"/>
            </w:tcMar>
          </w:tcPr>
          <w:p>
            <w:pPr>
              <w:jc w:val="center"/>
            </w:pPr>
            <w:r>
              <w:rPr>
                <w:b w:val="false"/>
                <w:bCs w:val="false"/>
                <w:sz w:val="15"/>
                <w:szCs w:val="15"/>
              </w:rPr>
              <w:t xml:space="preserve">OK</w:t>
            </w:r>
          </w:p>
        </w:tc>
      </w:tr>
      <w:tr>
        <w:tc>
          <w:tcPr>
            <w:tcW w:type="dxa" w:w="900"/>
            <w:tcMar>
              <w:top w:type="dxa" w:w="50"/>
              <w:left w:type="dxa" w:w="80"/>
              <w:bottom w:type="dxa" w:w="50"/>
              <w:right w:type="dxa" w:w="80"/>
            </w:tcMar>
          </w:tcPr>
          <w:p>
            <w:pPr>
              <w:jc w:val="center"/>
            </w:pPr>
            <w:r>
              <w:rPr>
                <w:b w:val="false"/>
                <w:bCs w:val="false"/>
                <w:sz w:val="15"/>
                <w:szCs w:val="15"/>
              </w:rPr>
              <w:t xml:space="preserve">0,95</w:t>
            </w:r>
          </w:p>
        </w:tc>
        <w:tc>
          <w:tcPr>
            <w:tcW w:type="dxa" w:w="1450"/>
            <w:tcMar>
              <w:top w:type="dxa" w:w="50"/>
              <w:left w:type="dxa" w:w="80"/>
              <w:bottom w:type="dxa" w:w="50"/>
              <w:right w:type="dxa" w:w="80"/>
            </w:tcMar>
          </w:tcPr>
          <w:p>
            <w:pPr>
              <w:jc w:val="center"/>
            </w:pPr>
            <w:r>
              <w:rPr>
                <w:b w:val="false"/>
                <w:bCs w:val="false"/>
                <w:sz w:val="15"/>
                <w:szCs w:val="15"/>
              </w:rPr>
              <w:t xml:space="preserve">92,06 %</w:t>
            </w:r>
          </w:p>
        </w:tc>
        <w:tc>
          <w:tcPr>
            <w:tcW w:type="dxa" w:w="1450"/>
            <w:tcMar>
              <w:top w:type="dxa" w:w="50"/>
              <w:left w:type="dxa" w:w="80"/>
              <w:bottom w:type="dxa" w:w="50"/>
              <w:right w:type="dxa" w:w="80"/>
            </w:tcMar>
          </w:tcPr>
          <w:p>
            <w:pPr>
              <w:jc w:val="center"/>
            </w:pPr>
            <w:r>
              <w:rPr>
                <w:b w:val="false"/>
                <w:bCs w:val="false"/>
                <w:sz w:val="15"/>
                <w:szCs w:val="15"/>
              </w:rPr>
              <w:t xml:space="preserve">92,31 %</w:t>
            </w:r>
          </w:p>
        </w:tc>
        <w:tc>
          <w:tcPr>
            <w:tcW w:type="dxa" w:w="1450"/>
            <w:tcMar>
              <w:top w:type="dxa" w:w="50"/>
              <w:left w:type="dxa" w:w="80"/>
              <w:bottom w:type="dxa" w:w="50"/>
              <w:right w:type="dxa" w:w="80"/>
            </w:tcMar>
          </w:tcPr>
          <w:p>
            <w:pPr>
              <w:jc w:val="center"/>
            </w:pPr>
            <w:r>
              <w:rPr>
                <w:b w:val="false"/>
                <w:bCs w:val="false"/>
                <w:sz w:val="15"/>
                <w:szCs w:val="15"/>
              </w:rPr>
              <w:t xml:space="preserve">−0,25</w:t>
            </w:r>
          </w:p>
        </w:tc>
        <w:tc>
          <w:tcPr>
            <w:tcW w:type="dxa" w:w="1400"/>
            <w:tcMar>
              <w:top w:type="dxa" w:w="50"/>
              <w:left w:type="dxa" w:w="80"/>
              <w:bottom w:type="dxa" w:w="50"/>
              <w:right w:type="dxa" w:w="80"/>
            </w:tcMar>
          </w:tcPr>
          <w:p>
            <w:pPr>
              <w:jc w:val="center"/>
            </w:pPr>
            <w:r>
              <w:rPr>
                <w:b w:val="false"/>
                <w:bCs w:val="false"/>
                <w:sz w:val="15"/>
                <w:szCs w:val="15"/>
              </w:rPr>
              <w:t xml:space="preserve">−0,71</w:t>
            </w:r>
          </w:p>
        </w:tc>
        <w:tc>
          <w:tcPr>
            <w:tcW w:type="dxa" w:w="1350"/>
            <w:tcMar>
              <w:top w:type="dxa" w:w="50"/>
              <w:left w:type="dxa" w:w="80"/>
              <w:bottom w:type="dxa" w:w="50"/>
              <w:right w:type="dxa" w:w="80"/>
            </w:tcMar>
          </w:tcPr>
          <w:p>
            <w:pPr>
              <w:jc w:val="center"/>
            </w:pPr>
            <w:r>
              <w:rPr>
                <w:b w:val="false"/>
                <w:bCs w:val="false"/>
                <w:sz w:val="15"/>
                <w:szCs w:val="15"/>
              </w:rPr>
              <w:t xml:space="preserve">OK</w:t>
            </w:r>
          </w:p>
        </w:tc>
      </w:tr>
    </w:tbl>
    <w:p>
      <w:pPr>
        <w:spacing w:after="160"/>
      </w:pPr>
    </w:p>
    <w:p>
      <w:pPr>
        <w:spacing w:after="120"/>
      </w:pPr>
      <w:r>
        <w:rPr>
          <w:b/>
          <w:bCs/>
        </w:rPr>
        <w:t xml:space="preserve">M = 40 (n_calib = 20)</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900"/>
        <w:gridCol w:w="1450"/>
        <w:gridCol w:w="1450"/>
        <w:gridCol w:w="1450"/>
        <w:gridCol w:w="1400"/>
        <w:gridCol w:w="1350"/>
      </w:tblGrid>
      <w:tr>
        <w:tc>
          <w:tcPr>
            <w:tcW w:type="dxa" w:w="900"/>
            <w:shd w:fill="E8E8E8" w:val="clear"/>
            <w:tcMar>
              <w:top w:type="dxa" w:w="50"/>
              <w:left w:type="dxa" w:w="80"/>
              <w:bottom w:type="dxa" w:w="50"/>
              <w:right w:type="dxa" w:w="80"/>
            </w:tcMar>
          </w:tcPr>
          <w:p>
            <w:pPr>
              <w:jc w:val="center"/>
            </w:pPr>
            <w:r>
              <w:rPr>
                <w:b/>
                <w:bCs/>
                <w:sz w:val="15"/>
                <w:szCs w:val="15"/>
              </w:rPr>
              <w:t xml:space="preserve">Nivel</w:t>
            </w:r>
          </w:p>
        </w:tc>
        <w:tc>
          <w:tcPr>
            <w:tcW w:type="dxa" w:w="1450"/>
            <w:shd w:fill="E8E8E8" w:val="clear"/>
            <w:tcMar>
              <w:top w:type="dxa" w:w="50"/>
              <w:left w:type="dxa" w:w="80"/>
              <w:bottom w:type="dxa" w:w="50"/>
              <w:right w:type="dxa" w:w="80"/>
            </w:tcMar>
          </w:tcPr>
          <w:p>
            <w:pPr>
              <w:jc w:val="center"/>
            </w:pPr>
            <w:r>
              <w:rPr>
                <w:b/>
                <w:bCs/>
                <w:sz w:val="15"/>
                <w:szCs w:val="15"/>
              </w:rPr>
              <w:t xml:space="preserve">Cov. real</w:t>
            </w:r>
          </w:p>
        </w:tc>
        <w:tc>
          <w:tcPr>
            <w:tcW w:type="dxa" w:w="1450"/>
            <w:shd w:fill="E8E8E8" w:val="clear"/>
            <w:tcMar>
              <w:top w:type="dxa" w:w="50"/>
              <w:left w:type="dxa" w:w="80"/>
              <w:bottom w:type="dxa" w:w="50"/>
              <w:right w:type="dxa" w:w="80"/>
            </w:tcMar>
          </w:tcPr>
          <w:p>
            <w:pPr>
              <w:jc w:val="center"/>
            </w:pPr>
            <w:r>
              <w:rPr>
                <w:b/>
                <w:bCs/>
                <w:sz w:val="15"/>
                <w:szCs w:val="15"/>
              </w:rPr>
              <w:t xml:space="preserve">Esperado</w:t>
            </w:r>
          </w:p>
        </w:tc>
        <w:tc>
          <w:tcPr>
            <w:tcW w:type="dxa" w:w="1450"/>
            <w:shd w:fill="E8E8E8" w:val="clear"/>
            <w:tcMar>
              <w:top w:type="dxa" w:w="50"/>
              <w:left w:type="dxa" w:w="80"/>
              <w:bottom w:type="dxa" w:w="50"/>
              <w:right w:type="dxa" w:w="80"/>
            </w:tcMar>
          </w:tcPr>
          <w:p>
            <w:pPr>
              <w:jc w:val="center"/>
            </w:pPr>
            <w:r>
              <w:rPr>
                <w:b/>
                <w:bCs/>
                <w:sz w:val="15"/>
                <w:szCs w:val="15"/>
              </w:rPr>
              <w:t xml:space="preserve">Desvío pp</w:t>
            </w:r>
          </w:p>
        </w:tc>
        <w:tc>
          <w:tcPr>
            <w:tcW w:type="dxa" w:w="1400"/>
            <w:shd w:fill="E8E8E8" w:val="clear"/>
            <w:tcMar>
              <w:top w:type="dxa" w:w="50"/>
              <w:left w:type="dxa" w:w="80"/>
              <w:bottom w:type="dxa" w:w="50"/>
              <w:right w:type="dxa" w:w="80"/>
            </w:tcMar>
          </w:tcPr>
          <w:p>
            <w:pPr>
              <w:jc w:val="center"/>
            </w:pPr>
            <w:r>
              <w:rPr>
                <w:b/>
                <w:bCs/>
                <w:sz w:val="15"/>
                <w:szCs w:val="15"/>
              </w:rPr>
              <w:t xml:space="preserve">Desvío σ</w:t>
            </w:r>
          </w:p>
        </w:tc>
        <w:tc>
          <w:tcPr>
            <w:tcW w:type="dxa" w:w="1350"/>
            <w:shd w:fill="E8E8E8" w:val="clear"/>
            <w:tcMar>
              <w:top w:type="dxa" w:w="50"/>
              <w:left w:type="dxa" w:w="80"/>
              <w:bottom w:type="dxa" w:w="50"/>
              <w:right w:type="dxa" w:w="80"/>
            </w:tcMar>
          </w:tcPr>
          <w:p>
            <w:pPr>
              <w:jc w:val="center"/>
            </w:pPr>
            <w:r>
              <w:rPr>
                <w:b/>
                <w:bCs/>
                <w:sz w:val="15"/>
                <w:szCs w:val="15"/>
              </w:rPr>
              <w:t xml:space="preserve">C11.b</w:t>
            </w:r>
          </w:p>
        </w:tc>
      </w:tr>
      <w:tr>
        <w:tc>
          <w:tcPr>
            <w:tcW w:type="dxa" w:w="900"/>
            <w:tcMar>
              <w:top w:type="dxa" w:w="50"/>
              <w:left w:type="dxa" w:w="80"/>
              <w:bottom w:type="dxa" w:w="50"/>
              <w:right w:type="dxa" w:w="80"/>
            </w:tcMar>
          </w:tcPr>
          <w:p>
            <w:pPr>
              <w:jc w:val="center"/>
            </w:pPr>
            <w:r>
              <w:rPr>
                <w:b w:val="false"/>
                <w:bCs w:val="false"/>
                <w:sz w:val="15"/>
                <w:szCs w:val="15"/>
              </w:rPr>
              <w:t xml:space="preserve">0,30</w:t>
            </w:r>
          </w:p>
        </w:tc>
        <w:tc>
          <w:tcPr>
            <w:tcW w:type="dxa" w:w="1450"/>
            <w:tcMar>
              <w:top w:type="dxa" w:w="50"/>
              <w:left w:type="dxa" w:w="80"/>
              <w:bottom w:type="dxa" w:w="50"/>
              <w:right w:type="dxa" w:w="80"/>
            </w:tcMar>
          </w:tcPr>
          <w:p>
            <w:pPr>
              <w:jc w:val="center"/>
            </w:pPr>
            <w:r>
              <w:rPr>
                <w:b w:val="false"/>
                <w:bCs w:val="false"/>
                <w:sz w:val="15"/>
                <w:szCs w:val="15"/>
              </w:rPr>
              <w:t xml:space="preserve">33,51 %</w:t>
            </w:r>
          </w:p>
        </w:tc>
        <w:tc>
          <w:tcPr>
            <w:tcW w:type="dxa" w:w="1450"/>
            <w:tcMar>
              <w:top w:type="dxa" w:w="50"/>
              <w:left w:type="dxa" w:w="80"/>
              <w:bottom w:type="dxa" w:w="50"/>
              <w:right w:type="dxa" w:w="80"/>
            </w:tcMar>
          </w:tcPr>
          <w:p>
            <w:pPr>
              <w:jc w:val="center"/>
            </w:pPr>
            <w:r>
              <w:rPr>
                <w:b w:val="false"/>
                <w:bCs w:val="false"/>
                <w:sz w:val="15"/>
                <w:szCs w:val="15"/>
              </w:rPr>
              <w:t xml:space="preserve">33,33 %</w:t>
            </w:r>
          </w:p>
        </w:tc>
        <w:tc>
          <w:tcPr>
            <w:tcW w:type="dxa" w:w="1450"/>
            <w:tcMar>
              <w:top w:type="dxa" w:w="50"/>
              <w:left w:type="dxa" w:w="80"/>
              <w:bottom w:type="dxa" w:w="50"/>
              <w:right w:type="dxa" w:w="80"/>
            </w:tcMar>
          </w:tcPr>
          <w:p>
            <w:pPr>
              <w:jc w:val="center"/>
            </w:pPr>
            <w:r>
              <w:rPr>
                <w:b w:val="false"/>
                <w:bCs w:val="false"/>
                <w:sz w:val="15"/>
                <w:szCs w:val="15"/>
              </w:rPr>
              <w:t xml:space="preserve">+0,18</w:t>
            </w:r>
          </w:p>
        </w:tc>
        <w:tc>
          <w:tcPr>
            <w:tcW w:type="dxa" w:w="1400"/>
            <w:tcMar>
              <w:top w:type="dxa" w:w="50"/>
              <w:left w:type="dxa" w:w="80"/>
              <w:bottom w:type="dxa" w:w="50"/>
              <w:right w:type="dxa" w:w="80"/>
            </w:tcMar>
          </w:tcPr>
          <w:p>
            <w:pPr>
              <w:jc w:val="center"/>
            </w:pPr>
            <w:r>
              <w:rPr>
                <w:b w:val="false"/>
                <w:bCs w:val="false"/>
                <w:sz w:val="15"/>
                <w:szCs w:val="15"/>
              </w:rPr>
              <w:t xml:space="preserve">+0,34</w:t>
            </w:r>
          </w:p>
        </w:tc>
        <w:tc>
          <w:tcPr>
            <w:tcW w:type="dxa" w:w="1350"/>
            <w:tcMar>
              <w:top w:type="dxa" w:w="50"/>
              <w:left w:type="dxa" w:w="80"/>
              <w:bottom w:type="dxa" w:w="50"/>
              <w:right w:type="dxa" w:w="80"/>
            </w:tcMar>
          </w:tcPr>
          <w:p>
            <w:pPr>
              <w:jc w:val="center"/>
            </w:pPr>
            <w:r>
              <w:rPr>
                <w:b w:val="false"/>
                <w:bCs w:val="false"/>
                <w:sz w:val="15"/>
                <w:szCs w:val="15"/>
              </w:rPr>
              <w:t xml:space="preserve">OK</w:t>
            </w:r>
          </w:p>
        </w:tc>
      </w:tr>
      <w:tr>
        <w:tc>
          <w:tcPr>
            <w:tcW w:type="dxa" w:w="900"/>
            <w:tcMar>
              <w:top w:type="dxa" w:w="50"/>
              <w:left w:type="dxa" w:w="80"/>
              <w:bottom w:type="dxa" w:w="50"/>
              <w:right w:type="dxa" w:w="80"/>
            </w:tcMar>
          </w:tcPr>
          <w:p>
            <w:pPr>
              <w:jc w:val="center"/>
            </w:pPr>
            <w:r>
              <w:rPr>
                <w:b w:val="false"/>
                <w:bCs w:val="false"/>
                <w:sz w:val="15"/>
                <w:szCs w:val="15"/>
              </w:rPr>
              <w:t xml:space="preserve">0,50</w:t>
            </w:r>
          </w:p>
        </w:tc>
        <w:tc>
          <w:tcPr>
            <w:tcW w:type="dxa" w:w="1450"/>
            <w:tcMar>
              <w:top w:type="dxa" w:w="50"/>
              <w:left w:type="dxa" w:w="80"/>
              <w:bottom w:type="dxa" w:w="50"/>
              <w:right w:type="dxa" w:w="80"/>
            </w:tcMar>
          </w:tcPr>
          <w:p>
            <w:pPr>
              <w:jc w:val="center"/>
            </w:pPr>
            <w:r>
              <w:rPr>
                <w:b w:val="false"/>
                <w:bCs w:val="false"/>
                <w:sz w:val="15"/>
                <w:szCs w:val="15"/>
              </w:rPr>
              <w:t xml:space="preserve">52,93 %</w:t>
            </w:r>
          </w:p>
        </w:tc>
        <w:tc>
          <w:tcPr>
            <w:tcW w:type="dxa" w:w="1450"/>
            <w:tcMar>
              <w:top w:type="dxa" w:w="50"/>
              <w:left w:type="dxa" w:w="80"/>
              <w:bottom w:type="dxa" w:w="50"/>
              <w:right w:type="dxa" w:w="80"/>
            </w:tcMar>
          </w:tcPr>
          <w:p>
            <w:pPr>
              <w:jc w:val="center"/>
            </w:pPr>
            <w:r>
              <w:rPr>
                <w:b w:val="false"/>
                <w:bCs w:val="false"/>
                <w:sz w:val="15"/>
                <w:szCs w:val="15"/>
              </w:rPr>
              <w:t xml:space="preserve">52,38 %</w:t>
            </w:r>
          </w:p>
        </w:tc>
        <w:tc>
          <w:tcPr>
            <w:tcW w:type="dxa" w:w="1450"/>
            <w:tcMar>
              <w:top w:type="dxa" w:w="50"/>
              <w:left w:type="dxa" w:w="80"/>
              <w:bottom w:type="dxa" w:w="50"/>
              <w:right w:type="dxa" w:w="80"/>
            </w:tcMar>
          </w:tcPr>
          <w:p>
            <w:pPr>
              <w:jc w:val="center"/>
            </w:pPr>
            <w:r>
              <w:rPr>
                <w:b w:val="false"/>
                <w:bCs w:val="false"/>
                <w:sz w:val="15"/>
                <w:szCs w:val="15"/>
              </w:rPr>
              <w:t xml:space="preserve">+0,55</w:t>
            </w:r>
          </w:p>
        </w:tc>
        <w:tc>
          <w:tcPr>
            <w:tcW w:type="dxa" w:w="1400"/>
            <w:tcMar>
              <w:top w:type="dxa" w:w="50"/>
              <w:left w:type="dxa" w:w="80"/>
              <w:bottom w:type="dxa" w:w="50"/>
              <w:right w:type="dxa" w:w="80"/>
            </w:tcMar>
          </w:tcPr>
          <w:p>
            <w:pPr>
              <w:jc w:val="center"/>
            </w:pPr>
            <w:r>
              <w:rPr>
                <w:b w:val="false"/>
                <w:bCs w:val="false"/>
                <w:sz w:val="15"/>
                <w:szCs w:val="15"/>
              </w:rPr>
              <w:t xml:space="preserve">+1,03</w:t>
            </w:r>
          </w:p>
        </w:tc>
        <w:tc>
          <w:tcPr>
            <w:tcW w:type="dxa" w:w="1350"/>
            <w:tcMar>
              <w:top w:type="dxa" w:w="50"/>
              <w:left w:type="dxa" w:w="80"/>
              <w:bottom w:type="dxa" w:w="50"/>
              <w:right w:type="dxa" w:w="80"/>
            </w:tcMar>
          </w:tcPr>
          <w:p>
            <w:pPr>
              <w:jc w:val="center"/>
            </w:pPr>
            <w:r>
              <w:rPr>
                <w:b w:val="false"/>
                <w:bCs w:val="false"/>
                <w:sz w:val="15"/>
                <w:szCs w:val="15"/>
              </w:rPr>
              <w:t xml:space="preserve">OK</w:t>
            </w:r>
          </w:p>
        </w:tc>
      </w:tr>
      <w:tr>
        <w:tc>
          <w:tcPr>
            <w:tcW w:type="dxa" w:w="900"/>
            <w:tcMar>
              <w:top w:type="dxa" w:w="50"/>
              <w:left w:type="dxa" w:w="80"/>
              <w:bottom w:type="dxa" w:w="50"/>
              <w:right w:type="dxa" w:w="80"/>
            </w:tcMar>
          </w:tcPr>
          <w:p>
            <w:pPr>
              <w:jc w:val="center"/>
            </w:pPr>
            <w:r>
              <w:rPr>
                <w:b w:val="false"/>
                <w:bCs w:val="false"/>
                <w:sz w:val="15"/>
                <w:szCs w:val="15"/>
              </w:rPr>
              <w:t xml:space="preserve">0,80</w:t>
            </w:r>
          </w:p>
        </w:tc>
        <w:tc>
          <w:tcPr>
            <w:tcW w:type="dxa" w:w="1450"/>
            <w:tcMar>
              <w:top w:type="dxa" w:w="50"/>
              <w:left w:type="dxa" w:w="80"/>
              <w:bottom w:type="dxa" w:w="50"/>
              <w:right w:type="dxa" w:w="80"/>
            </w:tcMar>
          </w:tcPr>
          <w:p>
            <w:pPr>
              <w:jc w:val="center"/>
            </w:pPr>
            <w:r>
              <w:rPr>
                <w:b w:val="false"/>
                <w:bCs w:val="false"/>
                <w:sz w:val="15"/>
                <w:szCs w:val="15"/>
              </w:rPr>
              <w:t xml:space="preserve">80,87 %</w:t>
            </w:r>
          </w:p>
        </w:tc>
        <w:tc>
          <w:tcPr>
            <w:tcW w:type="dxa" w:w="1450"/>
            <w:tcMar>
              <w:top w:type="dxa" w:w="50"/>
              <w:left w:type="dxa" w:w="80"/>
              <w:bottom w:type="dxa" w:w="50"/>
              <w:right w:type="dxa" w:w="80"/>
            </w:tcMar>
          </w:tcPr>
          <w:p>
            <w:pPr>
              <w:jc w:val="center"/>
            </w:pPr>
            <w:r>
              <w:rPr>
                <w:b w:val="false"/>
                <w:bCs w:val="false"/>
                <w:sz w:val="15"/>
                <w:szCs w:val="15"/>
              </w:rPr>
              <w:t xml:space="preserve">80,95 %</w:t>
            </w:r>
          </w:p>
        </w:tc>
        <w:tc>
          <w:tcPr>
            <w:tcW w:type="dxa" w:w="1450"/>
            <w:tcMar>
              <w:top w:type="dxa" w:w="50"/>
              <w:left w:type="dxa" w:w="80"/>
              <w:bottom w:type="dxa" w:w="50"/>
              <w:right w:type="dxa" w:w="80"/>
            </w:tcMar>
          </w:tcPr>
          <w:p>
            <w:pPr>
              <w:jc w:val="center"/>
            </w:pPr>
            <w:r>
              <w:rPr>
                <w:b w:val="false"/>
                <w:bCs w:val="false"/>
                <w:sz w:val="15"/>
                <w:szCs w:val="15"/>
              </w:rPr>
              <w:t xml:space="preserve">−0,08</w:t>
            </w:r>
          </w:p>
        </w:tc>
        <w:tc>
          <w:tcPr>
            <w:tcW w:type="dxa" w:w="1400"/>
            <w:tcMar>
              <w:top w:type="dxa" w:w="50"/>
              <w:left w:type="dxa" w:w="80"/>
              <w:bottom w:type="dxa" w:w="50"/>
              <w:right w:type="dxa" w:w="80"/>
            </w:tcMar>
          </w:tcPr>
          <w:p>
            <w:pPr>
              <w:jc w:val="center"/>
            </w:pPr>
            <w:r>
              <w:rPr>
                <w:b w:val="false"/>
                <w:bCs w:val="false"/>
                <w:sz w:val="15"/>
                <w:szCs w:val="15"/>
              </w:rPr>
              <w:t xml:space="preserve">−0,18</w:t>
            </w:r>
          </w:p>
        </w:tc>
        <w:tc>
          <w:tcPr>
            <w:tcW w:type="dxa" w:w="1350"/>
            <w:tcMar>
              <w:top w:type="dxa" w:w="50"/>
              <w:left w:type="dxa" w:w="80"/>
              <w:bottom w:type="dxa" w:w="50"/>
              <w:right w:type="dxa" w:w="80"/>
            </w:tcMar>
          </w:tcPr>
          <w:p>
            <w:pPr>
              <w:jc w:val="center"/>
            </w:pPr>
            <w:r>
              <w:rPr>
                <w:b w:val="false"/>
                <w:bCs w:val="false"/>
                <w:sz w:val="15"/>
                <w:szCs w:val="15"/>
              </w:rPr>
              <w:t xml:space="preserve">OK</w:t>
            </w:r>
          </w:p>
        </w:tc>
      </w:tr>
      <w:tr>
        <w:tc>
          <w:tcPr>
            <w:tcW w:type="dxa" w:w="900"/>
            <w:tcMar>
              <w:top w:type="dxa" w:w="50"/>
              <w:left w:type="dxa" w:w="80"/>
              <w:bottom w:type="dxa" w:w="50"/>
              <w:right w:type="dxa" w:w="80"/>
            </w:tcMar>
          </w:tcPr>
          <w:p>
            <w:pPr>
              <w:jc w:val="center"/>
            </w:pPr>
            <w:r>
              <w:rPr>
                <w:b w:val="false"/>
                <w:bCs w:val="false"/>
                <w:sz w:val="15"/>
                <w:szCs w:val="15"/>
              </w:rPr>
              <w:t xml:space="preserve">0,90</w:t>
            </w:r>
          </w:p>
        </w:tc>
        <w:tc>
          <w:tcPr>
            <w:tcW w:type="dxa" w:w="1450"/>
            <w:tcMar>
              <w:top w:type="dxa" w:w="50"/>
              <w:left w:type="dxa" w:w="80"/>
              <w:bottom w:type="dxa" w:w="50"/>
              <w:right w:type="dxa" w:w="80"/>
            </w:tcMar>
          </w:tcPr>
          <w:p>
            <w:pPr>
              <w:jc w:val="center"/>
            </w:pPr>
            <w:r>
              <w:rPr>
                <w:b w:val="false"/>
                <w:bCs w:val="false"/>
                <w:sz w:val="15"/>
                <w:szCs w:val="15"/>
              </w:rPr>
              <w:t xml:space="preserve">90,13 %</w:t>
            </w:r>
          </w:p>
        </w:tc>
        <w:tc>
          <w:tcPr>
            <w:tcW w:type="dxa" w:w="1450"/>
            <w:tcMar>
              <w:top w:type="dxa" w:w="50"/>
              <w:left w:type="dxa" w:w="80"/>
              <w:bottom w:type="dxa" w:w="50"/>
              <w:right w:type="dxa" w:w="80"/>
            </w:tcMar>
          </w:tcPr>
          <w:p>
            <w:pPr>
              <w:jc w:val="center"/>
            </w:pPr>
            <w:r>
              <w:rPr>
                <w:b w:val="false"/>
                <w:bCs w:val="false"/>
                <w:sz w:val="15"/>
                <w:szCs w:val="15"/>
              </w:rPr>
              <w:t xml:space="preserve">90,48 %</w:t>
            </w:r>
          </w:p>
        </w:tc>
        <w:tc>
          <w:tcPr>
            <w:tcW w:type="dxa" w:w="1450"/>
            <w:tcMar>
              <w:top w:type="dxa" w:w="50"/>
              <w:left w:type="dxa" w:w="80"/>
              <w:bottom w:type="dxa" w:w="50"/>
              <w:right w:type="dxa" w:w="80"/>
            </w:tcMar>
          </w:tcPr>
          <w:p>
            <w:pPr>
              <w:jc w:val="center"/>
            </w:pPr>
            <w:r>
              <w:rPr>
                <w:b w:val="false"/>
                <w:bCs w:val="false"/>
                <w:sz w:val="15"/>
                <w:szCs w:val="15"/>
              </w:rPr>
              <w:t xml:space="preserve">−0,35</w:t>
            </w:r>
          </w:p>
        </w:tc>
        <w:tc>
          <w:tcPr>
            <w:tcW w:type="dxa" w:w="1400"/>
            <w:tcMar>
              <w:top w:type="dxa" w:w="50"/>
              <w:left w:type="dxa" w:w="80"/>
              <w:bottom w:type="dxa" w:w="50"/>
              <w:right w:type="dxa" w:w="80"/>
            </w:tcMar>
          </w:tcPr>
          <w:p>
            <w:pPr>
              <w:jc w:val="center"/>
            </w:pPr>
            <w:r>
              <w:rPr>
                <w:b w:val="false"/>
                <w:bCs w:val="false"/>
                <w:sz w:val="15"/>
                <w:szCs w:val="15"/>
              </w:rPr>
              <w:t xml:space="preserve">−1,01</w:t>
            </w:r>
          </w:p>
        </w:tc>
        <w:tc>
          <w:tcPr>
            <w:tcW w:type="dxa" w:w="1350"/>
            <w:tcMar>
              <w:top w:type="dxa" w:w="50"/>
              <w:left w:type="dxa" w:w="80"/>
              <w:bottom w:type="dxa" w:w="50"/>
              <w:right w:type="dxa" w:w="80"/>
            </w:tcMar>
          </w:tcPr>
          <w:p>
            <w:pPr>
              <w:jc w:val="center"/>
            </w:pPr>
            <w:r>
              <w:rPr>
                <w:b w:val="false"/>
                <w:bCs w:val="false"/>
                <w:sz w:val="15"/>
                <w:szCs w:val="15"/>
              </w:rPr>
              <w:t xml:space="preserve">OK</w:t>
            </w:r>
          </w:p>
        </w:tc>
      </w:tr>
      <w:tr>
        <w:tc>
          <w:tcPr>
            <w:tcW w:type="dxa" w:w="900"/>
            <w:tcMar>
              <w:top w:type="dxa" w:w="50"/>
              <w:left w:type="dxa" w:w="80"/>
              <w:bottom w:type="dxa" w:w="50"/>
              <w:right w:type="dxa" w:w="80"/>
            </w:tcMar>
          </w:tcPr>
          <w:p>
            <w:pPr>
              <w:jc w:val="center"/>
            </w:pPr>
            <w:r>
              <w:rPr>
                <w:b w:val="false"/>
                <w:bCs w:val="false"/>
                <w:sz w:val="15"/>
                <w:szCs w:val="15"/>
              </w:rPr>
              <w:t xml:space="preserve">0,95</w:t>
            </w:r>
          </w:p>
        </w:tc>
        <w:tc>
          <w:tcPr>
            <w:tcW w:type="dxa" w:w="1450"/>
            <w:tcMar>
              <w:top w:type="dxa" w:w="50"/>
              <w:left w:type="dxa" w:w="80"/>
              <w:bottom w:type="dxa" w:w="50"/>
              <w:right w:type="dxa" w:w="80"/>
            </w:tcMar>
          </w:tcPr>
          <w:p>
            <w:pPr>
              <w:jc w:val="center"/>
            </w:pPr>
            <w:r>
              <w:rPr>
                <w:b w:val="false"/>
                <w:bCs w:val="false"/>
                <w:sz w:val="15"/>
                <w:szCs w:val="15"/>
              </w:rPr>
              <w:t xml:space="preserve">95,20 %</w:t>
            </w:r>
          </w:p>
        </w:tc>
        <w:tc>
          <w:tcPr>
            <w:tcW w:type="dxa" w:w="1450"/>
            <w:tcMar>
              <w:top w:type="dxa" w:w="50"/>
              <w:left w:type="dxa" w:w="80"/>
              <w:bottom w:type="dxa" w:w="50"/>
              <w:right w:type="dxa" w:w="80"/>
            </w:tcMar>
          </w:tcPr>
          <w:p>
            <w:pPr>
              <w:jc w:val="center"/>
            </w:pPr>
            <w:r>
              <w:rPr>
                <w:b w:val="false"/>
                <w:bCs w:val="false"/>
                <w:sz w:val="15"/>
                <w:szCs w:val="15"/>
              </w:rPr>
              <w:t xml:space="preserve">95,24 %</w:t>
            </w:r>
          </w:p>
        </w:tc>
        <w:tc>
          <w:tcPr>
            <w:tcW w:type="dxa" w:w="1450"/>
            <w:tcMar>
              <w:top w:type="dxa" w:w="50"/>
              <w:left w:type="dxa" w:w="80"/>
              <w:bottom w:type="dxa" w:w="50"/>
              <w:right w:type="dxa" w:w="80"/>
            </w:tcMar>
          </w:tcPr>
          <w:p>
            <w:pPr>
              <w:jc w:val="center"/>
            </w:pPr>
            <w:r>
              <w:rPr>
                <w:b w:val="false"/>
                <w:bCs w:val="false"/>
                <w:sz w:val="15"/>
                <w:szCs w:val="15"/>
              </w:rPr>
              <w:t xml:space="preserve">−0,04</w:t>
            </w:r>
          </w:p>
        </w:tc>
        <w:tc>
          <w:tcPr>
            <w:tcW w:type="dxa" w:w="1400"/>
            <w:tcMar>
              <w:top w:type="dxa" w:w="50"/>
              <w:left w:type="dxa" w:w="80"/>
              <w:bottom w:type="dxa" w:w="50"/>
              <w:right w:type="dxa" w:w="80"/>
            </w:tcMar>
          </w:tcPr>
          <w:p>
            <w:pPr>
              <w:jc w:val="center"/>
            </w:pPr>
            <w:r>
              <w:rPr>
                <w:b w:val="false"/>
                <w:bCs w:val="false"/>
                <w:sz w:val="15"/>
                <w:szCs w:val="15"/>
              </w:rPr>
              <w:t xml:space="preserve">−0,11</w:t>
            </w:r>
          </w:p>
        </w:tc>
        <w:tc>
          <w:tcPr>
            <w:tcW w:type="dxa" w:w="1350"/>
            <w:tcMar>
              <w:top w:type="dxa" w:w="50"/>
              <w:left w:type="dxa" w:w="80"/>
              <w:bottom w:type="dxa" w:w="50"/>
              <w:right w:type="dxa" w:w="80"/>
            </w:tcMar>
          </w:tcPr>
          <w:p>
            <w:pPr>
              <w:jc w:val="center"/>
            </w:pPr>
            <w:r>
              <w:rPr>
                <w:b w:val="false"/>
                <w:bCs w:val="false"/>
                <w:sz w:val="15"/>
                <w:szCs w:val="15"/>
              </w:rPr>
              <w:t xml:space="preserve">OK</w:t>
            </w:r>
          </w:p>
        </w:tc>
      </w:tr>
    </w:tbl>
    <w:p>
      <w:pPr>
        <w:spacing w:after="160"/>
      </w:pPr>
    </w:p>
    <w:p>
      <w:pPr>
        <w:spacing w:after="120"/>
      </w:pPr>
      <w:r>
        <w:rPr>
          <w:b/>
          <w:bCs/>
        </w:rPr>
        <w:t xml:space="preserve">M = 50 (n_calib = 25)</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900"/>
        <w:gridCol w:w="1450"/>
        <w:gridCol w:w="1450"/>
        <w:gridCol w:w="1450"/>
        <w:gridCol w:w="1400"/>
        <w:gridCol w:w="1350"/>
      </w:tblGrid>
      <w:tr>
        <w:tc>
          <w:tcPr>
            <w:tcW w:type="dxa" w:w="900"/>
            <w:shd w:fill="E8E8E8" w:val="clear"/>
            <w:tcMar>
              <w:top w:type="dxa" w:w="50"/>
              <w:left w:type="dxa" w:w="80"/>
              <w:bottom w:type="dxa" w:w="50"/>
              <w:right w:type="dxa" w:w="80"/>
            </w:tcMar>
          </w:tcPr>
          <w:p>
            <w:pPr>
              <w:jc w:val="center"/>
            </w:pPr>
            <w:r>
              <w:rPr>
                <w:b/>
                <w:bCs/>
                <w:sz w:val="15"/>
                <w:szCs w:val="15"/>
              </w:rPr>
              <w:t xml:space="preserve">Nivel</w:t>
            </w:r>
          </w:p>
        </w:tc>
        <w:tc>
          <w:tcPr>
            <w:tcW w:type="dxa" w:w="1450"/>
            <w:shd w:fill="E8E8E8" w:val="clear"/>
            <w:tcMar>
              <w:top w:type="dxa" w:w="50"/>
              <w:left w:type="dxa" w:w="80"/>
              <w:bottom w:type="dxa" w:w="50"/>
              <w:right w:type="dxa" w:w="80"/>
            </w:tcMar>
          </w:tcPr>
          <w:p>
            <w:pPr>
              <w:jc w:val="center"/>
            </w:pPr>
            <w:r>
              <w:rPr>
                <w:b/>
                <w:bCs/>
                <w:sz w:val="15"/>
                <w:szCs w:val="15"/>
              </w:rPr>
              <w:t xml:space="preserve">Cov. real</w:t>
            </w:r>
          </w:p>
        </w:tc>
        <w:tc>
          <w:tcPr>
            <w:tcW w:type="dxa" w:w="1450"/>
            <w:shd w:fill="E8E8E8" w:val="clear"/>
            <w:tcMar>
              <w:top w:type="dxa" w:w="50"/>
              <w:left w:type="dxa" w:w="80"/>
              <w:bottom w:type="dxa" w:w="50"/>
              <w:right w:type="dxa" w:w="80"/>
            </w:tcMar>
          </w:tcPr>
          <w:p>
            <w:pPr>
              <w:jc w:val="center"/>
            </w:pPr>
            <w:r>
              <w:rPr>
                <w:b/>
                <w:bCs/>
                <w:sz w:val="15"/>
                <w:szCs w:val="15"/>
              </w:rPr>
              <w:t xml:space="preserve">Esperado</w:t>
            </w:r>
          </w:p>
        </w:tc>
        <w:tc>
          <w:tcPr>
            <w:tcW w:type="dxa" w:w="1450"/>
            <w:shd w:fill="E8E8E8" w:val="clear"/>
            <w:tcMar>
              <w:top w:type="dxa" w:w="50"/>
              <w:left w:type="dxa" w:w="80"/>
              <w:bottom w:type="dxa" w:w="50"/>
              <w:right w:type="dxa" w:w="80"/>
            </w:tcMar>
          </w:tcPr>
          <w:p>
            <w:pPr>
              <w:jc w:val="center"/>
            </w:pPr>
            <w:r>
              <w:rPr>
                <w:b/>
                <w:bCs/>
                <w:sz w:val="15"/>
                <w:szCs w:val="15"/>
              </w:rPr>
              <w:t xml:space="preserve">Desvío pp</w:t>
            </w:r>
          </w:p>
        </w:tc>
        <w:tc>
          <w:tcPr>
            <w:tcW w:type="dxa" w:w="1400"/>
            <w:shd w:fill="E8E8E8" w:val="clear"/>
            <w:tcMar>
              <w:top w:type="dxa" w:w="50"/>
              <w:left w:type="dxa" w:w="80"/>
              <w:bottom w:type="dxa" w:w="50"/>
              <w:right w:type="dxa" w:w="80"/>
            </w:tcMar>
          </w:tcPr>
          <w:p>
            <w:pPr>
              <w:jc w:val="center"/>
            </w:pPr>
            <w:r>
              <w:rPr>
                <w:b/>
                <w:bCs/>
                <w:sz w:val="15"/>
                <w:szCs w:val="15"/>
              </w:rPr>
              <w:t xml:space="preserve">Desvío σ</w:t>
            </w:r>
          </w:p>
        </w:tc>
        <w:tc>
          <w:tcPr>
            <w:tcW w:type="dxa" w:w="1350"/>
            <w:shd w:fill="E8E8E8" w:val="clear"/>
            <w:tcMar>
              <w:top w:type="dxa" w:w="50"/>
              <w:left w:type="dxa" w:w="80"/>
              <w:bottom w:type="dxa" w:w="50"/>
              <w:right w:type="dxa" w:w="80"/>
            </w:tcMar>
          </w:tcPr>
          <w:p>
            <w:pPr>
              <w:jc w:val="center"/>
            </w:pPr>
            <w:r>
              <w:rPr>
                <w:b/>
                <w:bCs/>
                <w:sz w:val="15"/>
                <w:szCs w:val="15"/>
              </w:rPr>
              <w:t xml:space="preserve">C11.b</w:t>
            </w:r>
          </w:p>
        </w:tc>
      </w:tr>
      <w:tr>
        <w:tc>
          <w:tcPr>
            <w:tcW w:type="dxa" w:w="900"/>
            <w:tcMar>
              <w:top w:type="dxa" w:w="50"/>
              <w:left w:type="dxa" w:w="80"/>
              <w:bottom w:type="dxa" w:w="50"/>
              <w:right w:type="dxa" w:w="80"/>
            </w:tcMar>
          </w:tcPr>
          <w:p>
            <w:pPr>
              <w:jc w:val="center"/>
            </w:pPr>
            <w:r>
              <w:rPr>
                <w:b w:val="false"/>
                <w:bCs w:val="false"/>
                <w:sz w:val="15"/>
                <w:szCs w:val="15"/>
              </w:rPr>
              <w:t xml:space="preserve">0,30</w:t>
            </w:r>
          </w:p>
        </w:tc>
        <w:tc>
          <w:tcPr>
            <w:tcW w:type="dxa" w:w="1450"/>
            <w:tcMar>
              <w:top w:type="dxa" w:w="50"/>
              <w:left w:type="dxa" w:w="80"/>
              <w:bottom w:type="dxa" w:w="50"/>
              <w:right w:type="dxa" w:w="80"/>
            </w:tcMar>
          </w:tcPr>
          <w:p>
            <w:pPr>
              <w:jc w:val="center"/>
            </w:pPr>
            <w:r>
              <w:rPr>
                <w:b w:val="false"/>
                <w:bCs w:val="false"/>
                <w:sz w:val="15"/>
                <w:szCs w:val="15"/>
              </w:rPr>
              <w:t xml:space="preserve">31,41 %</w:t>
            </w:r>
          </w:p>
        </w:tc>
        <w:tc>
          <w:tcPr>
            <w:tcW w:type="dxa" w:w="1450"/>
            <w:tcMar>
              <w:top w:type="dxa" w:w="50"/>
              <w:left w:type="dxa" w:w="80"/>
              <w:bottom w:type="dxa" w:w="50"/>
              <w:right w:type="dxa" w:w="80"/>
            </w:tcMar>
          </w:tcPr>
          <w:p>
            <w:pPr>
              <w:jc w:val="center"/>
            </w:pPr>
            <w:r>
              <w:rPr>
                <w:b w:val="false"/>
                <w:bCs w:val="false"/>
                <w:sz w:val="15"/>
                <w:szCs w:val="15"/>
              </w:rPr>
              <w:t xml:space="preserve">30,77 %</w:t>
            </w:r>
          </w:p>
        </w:tc>
        <w:tc>
          <w:tcPr>
            <w:tcW w:type="dxa" w:w="1450"/>
            <w:tcMar>
              <w:top w:type="dxa" w:w="50"/>
              <w:left w:type="dxa" w:w="80"/>
              <w:bottom w:type="dxa" w:w="50"/>
              <w:right w:type="dxa" w:w="80"/>
            </w:tcMar>
          </w:tcPr>
          <w:p>
            <w:pPr>
              <w:jc w:val="center"/>
            </w:pPr>
            <w:r>
              <w:rPr>
                <w:b w:val="false"/>
                <w:bCs w:val="false"/>
                <w:sz w:val="15"/>
                <w:szCs w:val="15"/>
              </w:rPr>
              <w:t xml:space="preserve">+0,64</w:t>
            </w:r>
          </w:p>
        </w:tc>
        <w:tc>
          <w:tcPr>
            <w:tcW w:type="dxa" w:w="1400"/>
            <w:tcMar>
              <w:top w:type="dxa" w:w="50"/>
              <w:left w:type="dxa" w:w="80"/>
              <w:bottom w:type="dxa" w:w="50"/>
              <w:right w:type="dxa" w:w="80"/>
            </w:tcMar>
          </w:tcPr>
          <w:p>
            <w:pPr>
              <w:jc w:val="center"/>
            </w:pPr>
            <w:r>
              <w:rPr>
                <w:b w:val="false"/>
                <w:bCs w:val="false"/>
                <w:sz w:val="15"/>
                <w:szCs w:val="15"/>
              </w:rPr>
              <w:t xml:space="preserve">+1,18</w:t>
            </w:r>
          </w:p>
        </w:tc>
        <w:tc>
          <w:tcPr>
            <w:tcW w:type="dxa" w:w="1350"/>
            <w:tcMar>
              <w:top w:type="dxa" w:w="50"/>
              <w:left w:type="dxa" w:w="80"/>
              <w:bottom w:type="dxa" w:w="50"/>
              <w:right w:type="dxa" w:w="80"/>
            </w:tcMar>
          </w:tcPr>
          <w:p>
            <w:pPr>
              <w:jc w:val="center"/>
            </w:pPr>
            <w:r>
              <w:rPr>
                <w:b w:val="false"/>
                <w:bCs w:val="false"/>
                <w:sz w:val="15"/>
                <w:szCs w:val="15"/>
              </w:rPr>
              <w:t xml:space="preserve">OK</w:t>
            </w:r>
          </w:p>
        </w:tc>
      </w:tr>
      <w:tr>
        <w:tc>
          <w:tcPr>
            <w:tcW w:type="dxa" w:w="900"/>
            <w:tcMar>
              <w:top w:type="dxa" w:w="50"/>
              <w:left w:type="dxa" w:w="80"/>
              <w:bottom w:type="dxa" w:w="50"/>
              <w:right w:type="dxa" w:w="80"/>
            </w:tcMar>
          </w:tcPr>
          <w:p>
            <w:pPr>
              <w:jc w:val="center"/>
            </w:pPr>
            <w:r>
              <w:rPr>
                <w:b w:val="false"/>
                <w:bCs w:val="false"/>
                <w:sz w:val="15"/>
                <w:szCs w:val="15"/>
              </w:rPr>
              <w:t xml:space="preserve">0,50</w:t>
            </w:r>
          </w:p>
        </w:tc>
        <w:tc>
          <w:tcPr>
            <w:tcW w:type="dxa" w:w="1450"/>
            <w:tcMar>
              <w:top w:type="dxa" w:w="50"/>
              <w:left w:type="dxa" w:w="80"/>
              <w:bottom w:type="dxa" w:w="50"/>
              <w:right w:type="dxa" w:w="80"/>
            </w:tcMar>
          </w:tcPr>
          <w:p>
            <w:pPr>
              <w:jc w:val="center"/>
            </w:pPr>
            <w:r>
              <w:rPr>
                <w:b w:val="false"/>
                <w:bCs w:val="false"/>
                <w:sz w:val="15"/>
                <w:szCs w:val="15"/>
              </w:rPr>
              <w:t xml:space="preserve">50,47 %</w:t>
            </w:r>
          </w:p>
        </w:tc>
        <w:tc>
          <w:tcPr>
            <w:tcW w:type="dxa" w:w="1450"/>
            <w:tcMar>
              <w:top w:type="dxa" w:w="50"/>
              <w:left w:type="dxa" w:w="80"/>
              <w:bottom w:type="dxa" w:w="50"/>
              <w:right w:type="dxa" w:w="80"/>
            </w:tcMar>
          </w:tcPr>
          <w:p>
            <w:pPr>
              <w:jc w:val="center"/>
            </w:pPr>
            <w:r>
              <w:rPr>
                <w:b w:val="false"/>
                <w:bCs w:val="false"/>
                <w:sz w:val="15"/>
                <w:szCs w:val="15"/>
              </w:rPr>
              <w:t xml:space="preserve">50,00 %</w:t>
            </w:r>
          </w:p>
        </w:tc>
        <w:tc>
          <w:tcPr>
            <w:tcW w:type="dxa" w:w="1450"/>
            <w:tcMar>
              <w:top w:type="dxa" w:w="50"/>
              <w:left w:type="dxa" w:w="80"/>
              <w:bottom w:type="dxa" w:w="50"/>
              <w:right w:type="dxa" w:w="80"/>
            </w:tcMar>
          </w:tcPr>
          <w:p>
            <w:pPr>
              <w:jc w:val="center"/>
            </w:pPr>
            <w:r>
              <w:rPr>
                <w:b w:val="false"/>
                <w:bCs w:val="false"/>
                <w:sz w:val="15"/>
                <w:szCs w:val="15"/>
              </w:rPr>
              <w:t xml:space="preserve">+0,47</w:t>
            </w:r>
          </w:p>
        </w:tc>
        <w:tc>
          <w:tcPr>
            <w:tcW w:type="dxa" w:w="1400"/>
            <w:tcMar>
              <w:top w:type="dxa" w:w="50"/>
              <w:left w:type="dxa" w:w="80"/>
              <w:bottom w:type="dxa" w:w="50"/>
              <w:right w:type="dxa" w:w="80"/>
            </w:tcMar>
          </w:tcPr>
          <w:p>
            <w:pPr>
              <w:jc w:val="center"/>
            </w:pPr>
            <w:r>
              <w:rPr>
                <w:b w:val="false"/>
                <w:bCs w:val="false"/>
                <w:sz w:val="15"/>
                <w:szCs w:val="15"/>
              </w:rPr>
              <w:t xml:space="preserve">+0,89</w:t>
            </w:r>
          </w:p>
        </w:tc>
        <w:tc>
          <w:tcPr>
            <w:tcW w:type="dxa" w:w="1350"/>
            <w:tcMar>
              <w:top w:type="dxa" w:w="50"/>
              <w:left w:type="dxa" w:w="80"/>
              <w:bottom w:type="dxa" w:w="50"/>
              <w:right w:type="dxa" w:w="80"/>
            </w:tcMar>
          </w:tcPr>
          <w:p>
            <w:pPr>
              <w:jc w:val="center"/>
            </w:pPr>
            <w:r>
              <w:rPr>
                <w:b w:val="false"/>
                <w:bCs w:val="false"/>
                <w:sz w:val="15"/>
                <w:szCs w:val="15"/>
              </w:rPr>
              <w:t xml:space="preserve">OK</w:t>
            </w:r>
          </w:p>
        </w:tc>
      </w:tr>
      <w:tr>
        <w:tc>
          <w:tcPr>
            <w:tcW w:type="dxa" w:w="900"/>
            <w:tcMar>
              <w:top w:type="dxa" w:w="50"/>
              <w:left w:type="dxa" w:w="80"/>
              <w:bottom w:type="dxa" w:w="50"/>
              <w:right w:type="dxa" w:w="80"/>
            </w:tcMar>
          </w:tcPr>
          <w:p>
            <w:pPr>
              <w:jc w:val="center"/>
            </w:pPr>
            <w:r>
              <w:rPr>
                <w:b w:val="false"/>
                <w:bCs w:val="false"/>
                <w:sz w:val="15"/>
                <w:szCs w:val="15"/>
              </w:rPr>
              <w:t xml:space="preserve">0,80</w:t>
            </w:r>
          </w:p>
        </w:tc>
        <w:tc>
          <w:tcPr>
            <w:tcW w:type="dxa" w:w="1450"/>
            <w:tcMar>
              <w:top w:type="dxa" w:w="50"/>
              <w:left w:type="dxa" w:w="80"/>
              <w:bottom w:type="dxa" w:w="50"/>
              <w:right w:type="dxa" w:w="80"/>
            </w:tcMar>
          </w:tcPr>
          <w:p>
            <w:pPr>
              <w:jc w:val="center"/>
            </w:pPr>
            <w:r>
              <w:rPr>
                <w:b w:val="false"/>
                <w:bCs w:val="false"/>
                <w:sz w:val="15"/>
                <w:szCs w:val="15"/>
              </w:rPr>
              <w:t xml:space="preserve">80,92 %</w:t>
            </w:r>
          </w:p>
        </w:tc>
        <w:tc>
          <w:tcPr>
            <w:tcW w:type="dxa" w:w="1450"/>
            <w:tcMar>
              <w:top w:type="dxa" w:w="50"/>
              <w:left w:type="dxa" w:w="80"/>
              <w:bottom w:type="dxa" w:w="50"/>
              <w:right w:type="dxa" w:w="80"/>
            </w:tcMar>
          </w:tcPr>
          <w:p>
            <w:pPr>
              <w:jc w:val="center"/>
            </w:pPr>
            <w:r>
              <w:rPr>
                <w:b w:val="false"/>
                <w:bCs w:val="false"/>
                <w:sz w:val="15"/>
                <w:szCs w:val="15"/>
              </w:rPr>
              <w:t xml:space="preserve">80,77 %</w:t>
            </w:r>
          </w:p>
        </w:tc>
        <w:tc>
          <w:tcPr>
            <w:tcW w:type="dxa" w:w="1450"/>
            <w:tcMar>
              <w:top w:type="dxa" w:w="50"/>
              <w:left w:type="dxa" w:w="80"/>
              <w:bottom w:type="dxa" w:w="50"/>
              <w:right w:type="dxa" w:w="80"/>
            </w:tcMar>
          </w:tcPr>
          <w:p>
            <w:pPr>
              <w:jc w:val="center"/>
            </w:pPr>
            <w:r>
              <w:rPr>
                <w:b w:val="false"/>
                <w:bCs w:val="false"/>
                <w:sz w:val="15"/>
                <w:szCs w:val="15"/>
              </w:rPr>
              <w:t xml:space="preserve">+0,15</w:t>
            </w:r>
          </w:p>
        </w:tc>
        <w:tc>
          <w:tcPr>
            <w:tcW w:type="dxa" w:w="1400"/>
            <w:tcMar>
              <w:top w:type="dxa" w:w="50"/>
              <w:left w:type="dxa" w:w="80"/>
              <w:bottom w:type="dxa" w:w="50"/>
              <w:right w:type="dxa" w:w="80"/>
            </w:tcMar>
          </w:tcPr>
          <w:p>
            <w:pPr>
              <w:jc w:val="center"/>
            </w:pPr>
            <w:r>
              <w:rPr>
                <w:b w:val="false"/>
                <w:bCs w:val="false"/>
                <w:sz w:val="15"/>
                <w:szCs w:val="15"/>
              </w:rPr>
              <w:t xml:space="preserve">+0,34</w:t>
            </w:r>
          </w:p>
        </w:tc>
        <w:tc>
          <w:tcPr>
            <w:tcW w:type="dxa" w:w="1350"/>
            <w:tcMar>
              <w:top w:type="dxa" w:w="50"/>
              <w:left w:type="dxa" w:w="80"/>
              <w:bottom w:type="dxa" w:w="50"/>
              <w:right w:type="dxa" w:w="80"/>
            </w:tcMar>
          </w:tcPr>
          <w:p>
            <w:pPr>
              <w:jc w:val="center"/>
            </w:pPr>
            <w:r>
              <w:rPr>
                <w:b w:val="false"/>
                <w:bCs w:val="false"/>
                <w:sz w:val="15"/>
                <w:szCs w:val="15"/>
              </w:rPr>
              <w:t xml:space="preserve">OK</w:t>
            </w:r>
          </w:p>
        </w:tc>
      </w:tr>
      <w:tr>
        <w:tc>
          <w:tcPr>
            <w:tcW w:type="dxa" w:w="900"/>
            <w:tcMar>
              <w:top w:type="dxa" w:w="50"/>
              <w:left w:type="dxa" w:w="80"/>
              <w:bottom w:type="dxa" w:w="50"/>
              <w:right w:type="dxa" w:w="80"/>
            </w:tcMar>
          </w:tcPr>
          <w:p>
            <w:pPr>
              <w:jc w:val="center"/>
            </w:pPr>
            <w:r>
              <w:rPr>
                <w:b w:val="false"/>
                <w:bCs w:val="false"/>
                <w:sz w:val="15"/>
                <w:szCs w:val="15"/>
              </w:rPr>
              <w:t xml:space="preserve">0,90</w:t>
            </w:r>
          </w:p>
        </w:tc>
        <w:tc>
          <w:tcPr>
            <w:tcW w:type="dxa" w:w="1450"/>
            <w:tcMar>
              <w:top w:type="dxa" w:w="50"/>
              <w:left w:type="dxa" w:w="80"/>
              <w:bottom w:type="dxa" w:w="50"/>
              <w:right w:type="dxa" w:w="80"/>
            </w:tcMar>
          </w:tcPr>
          <w:p>
            <w:pPr>
              <w:jc w:val="center"/>
            </w:pPr>
            <w:r>
              <w:rPr>
                <w:b w:val="false"/>
                <w:bCs w:val="false"/>
                <w:sz w:val="15"/>
                <w:szCs w:val="15"/>
              </w:rPr>
              <w:t xml:space="preserve">92,34 %</w:t>
            </w:r>
          </w:p>
        </w:tc>
        <w:tc>
          <w:tcPr>
            <w:tcW w:type="dxa" w:w="1450"/>
            <w:tcMar>
              <w:top w:type="dxa" w:w="50"/>
              <w:left w:type="dxa" w:w="80"/>
              <w:bottom w:type="dxa" w:w="50"/>
              <w:right w:type="dxa" w:w="80"/>
            </w:tcMar>
          </w:tcPr>
          <w:p>
            <w:pPr>
              <w:jc w:val="center"/>
            </w:pPr>
            <w:r>
              <w:rPr>
                <w:b w:val="false"/>
                <w:bCs w:val="false"/>
                <w:sz w:val="15"/>
                <w:szCs w:val="15"/>
              </w:rPr>
              <w:t xml:space="preserve">92,31 %</w:t>
            </w:r>
          </w:p>
        </w:tc>
        <w:tc>
          <w:tcPr>
            <w:tcW w:type="dxa" w:w="1450"/>
            <w:tcMar>
              <w:top w:type="dxa" w:w="50"/>
              <w:left w:type="dxa" w:w="80"/>
              <w:bottom w:type="dxa" w:w="50"/>
              <w:right w:type="dxa" w:w="80"/>
            </w:tcMar>
          </w:tcPr>
          <w:p>
            <w:pPr>
              <w:jc w:val="center"/>
            </w:pPr>
            <w:r>
              <w:rPr>
                <w:b w:val="false"/>
                <w:bCs w:val="false"/>
                <w:sz w:val="15"/>
                <w:szCs w:val="15"/>
              </w:rPr>
              <w:t xml:space="preserve">+0,03</w:t>
            </w:r>
          </w:p>
        </w:tc>
        <w:tc>
          <w:tcPr>
            <w:tcW w:type="dxa" w:w="1400"/>
            <w:tcMar>
              <w:top w:type="dxa" w:w="50"/>
              <w:left w:type="dxa" w:w="80"/>
              <w:bottom w:type="dxa" w:w="50"/>
              <w:right w:type="dxa" w:w="80"/>
            </w:tcMar>
          </w:tcPr>
          <w:p>
            <w:pPr>
              <w:jc w:val="center"/>
            </w:pPr>
            <w:r>
              <w:rPr>
                <w:b w:val="false"/>
                <w:bCs w:val="false"/>
                <w:sz w:val="15"/>
                <w:szCs w:val="15"/>
              </w:rPr>
              <w:t xml:space="preserve">+0,10</w:t>
            </w:r>
          </w:p>
        </w:tc>
        <w:tc>
          <w:tcPr>
            <w:tcW w:type="dxa" w:w="1350"/>
            <w:tcMar>
              <w:top w:type="dxa" w:w="50"/>
              <w:left w:type="dxa" w:w="80"/>
              <w:bottom w:type="dxa" w:w="50"/>
              <w:right w:type="dxa" w:w="80"/>
            </w:tcMar>
          </w:tcPr>
          <w:p>
            <w:pPr>
              <w:jc w:val="center"/>
            </w:pPr>
            <w:r>
              <w:rPr>
                <w:b w:val="false"/>
                <w:bCs w:val="false"/>
                <w:sz w:val="15"/>
                <w:szCs w:val="15"/>
              </w:rPr>
              <w:t xml:space="preserve">OK</w:t>
            </w:r>
          </w:p>
        </w:tc>
      </w:tr>
      <w:tr>
        <w:tc>
          <w:tcPr>
            <w:tcW w:type="dxa" w:w="900"/>
            <w:tcMar>
              <w:top w:type="dxa" w:w="50"/>
              <w:left w:type="dxa" w:w="80"/>
              <w:bottom w:type="dxa" w:w="50"/>
              <w:right w:type="dxa" w:w="80"/>
            </w:tcMar>
          </w:tcPr>
          <w:p>
            <w:pPr>
              <w:jc w:val="center"/>
            </w:pPr>
            <w:r>
              <w:rPr>
                <w:b w:val="false"/>
                <w:bCs w:val="false"/>
                <w:sz w:val="15"/>
                <w:szCs w:val="15"/>
              </w:rPr>
              <w:t xml:space="preserve">0,95</w:t>
            </w:r>
          </w:p>
        </w:tc>
        <w:tc>
          <w:tcPr>
            <w:tcW w:type="dxa" w:w="1450"/>
            <w:tcMar>
              <w:top w:type="dxa" w:w="50"/>
              <w:left w:type="dxa" w:w="80"/>
              <w:bottom w:type="dxa" w:w="50"/>
              <w:right w:type="dxa" w:w="80"/>
            </w:tcMar>
          </w:tcPr>
          <w:p>
            <w:pPr>
              <w:jc w:val="center"/>
            </w:pPr>
            <w:r>
              <w:rPr>
                <w:b w:val="false"/>
                <w:bCs w:val="false"/>
                <w:sz w:val="15"/>
                <w:szCs w:val="15"/>
              </w:rPr>
              <w:t xml:space="preserve">96,32 %</w:t>
            </w:r>
          </w:p>
        </w:tc>
        <w:tc>
          <w:tcPr>
            <w:tcW w:type="dxa" w:w="1450"/>
            <w:tcMar>
              <w:top w:type="dxa" w:w="50"/>
              <w:left w:type="dxa" w:w="80"/>
              <w:bottom w:type="dxa" w:w="50"/>
              <w:right w:type="dxa" w:w="80"/>
            </w:tcMar>
          </w:tcPr>
          <w:p>
            <w:pPr>
              <w:jc w:val="center"/>
            </w:pPr>
            <w:r>
              <w:rPr>
                <w:b w:val="false"/>
                <w:bCs w:val="false"/>
                <w:sz w:val="15"/>
                <w:szCs w:val="15"/>
              </w:rPr>
              <w:t xml:space="preserve">96,15 %</w:t>
            </w:r>
          </w:p>
        </w:tc>
        <w:tc>
          <w:tcPr>
            <w:tcW w:type="dxa" w:w="1450"/>
            <w:tcMar>
              <w:top w:type="dxa" w:w="50"/>
              <w:left w:type="dxa" w:w="80"/>
              <w:bottom w:type="dxa" w:w="50"/>
              <w:right w:type="dxa" w:w="80"/>
            </w:tcMar>
          </w:tcPr>
          <w:p>
            <w:pPr>
              <w:jc w:val="center"/>
            </w:pPr>
            <w:r>
              <w:rPr>
                <w:b w:val="false"/>
                <w:bCs w:val="false"/>
                <w:sz w:val="15"/>
                <w:szCs w:val="15"/>
              </w:rPr>
              <w:t xml:space="preserve">+0,16</w:t>
            </w:r>
          </w:p>
        </w:tc>
        <w:tc>
          <w:tcPr>
            <w:tcW w:type="dxa" w:w="1400"/>
            <w:tcMar>
              <w:top w:type="dxa" w:w="50"/>
              <w:left w:type="dxa" w:w="80"/>
              <w:bottom w:type="dxa" w:w="50"/>
              <w:right w:type="dxa" w:w="80"/>
            </w:tcMar>
          </w:tcPr>
          <w:p>
            <w:pPr>
              <w:jc w:val="center"/>
            </w:pPr>
            <w:r>
              <w:rPr>
                <w:b w:val="false"/>
                <w:bCs w:val="false"/>
                <w:sz w:val="15"/>
                <w:szCs w:val="15"/>
              </w:rPr>
              <w:t xml:space="preserve">+0,47</w:t>
            </w:r>
          </w:p>
        </w:tc>
        <w:tc>
          <w:tcPr>
            <w:tcW w:type="dxa" w:w="1350"/>
            <w:tcMar>
              <w:top w:type="dxa" w:w="50"/>
              <w:left w:type="dxa" w:w="80"/>
              <w:bottom w:type="dxa" w:w="50"/>
              <w:right w:type="dxa" w:w="80"/>
            </w:tcMar>
          </w:tcPr>
          <w:p>
            <w:pPr>
              <w:jc w:val="center"/>
            </w:pPr>
            <w:r>
              <w:rPr>
                <w:b w:val="false"/>
                <w:bCs w:val="false"/>
                <w:sz w:val="15"/>
                <w:szCs w:val="15"/>
              </w:rPr>
              <w:t xml:space="preserve">OK</w:t>
            </w:r>
          </w:p>
        </w:tc>
      </w:tr>
    </w:tbl>
    <w:p>
      <w:pPr>
        <w:spacing w:after="160"/>
      </w:pPr>
    </w:p>
    <w:p>
      <w:pPr>
        <w:spacing w:after="120"/>
      </w:pPr>
      <w:r>
        <w:t xml:space="preserve">Dos lecturas particularmente limpias. En M = 50 el nivel 0,50 tiene cobertura esperada de 50,00 % exacto, porque 13/26 no arrastra desvío estructural alguno: es el único punto de toda la grilla donde el esperado coincide con el nominal, y la realizada cayó a +0,47 pp. En M = 50 el nivel 0,90 se desvió +0,03 pp de su esperado, y en M = 40 el nivel 0,95 se desvió −0,04 pp.</w:t>
      </w:r>
    </w:p>
    <w:p>
      <w:pPr>
        <w:spacing w:after="120"/>
      </w:pPr>
      <w:r>
        <w:t xml:space="preserve">Ninguna configuración falló su integración en ninguno de los cinco pares (brazo, M).</w:t>
      </w:r>
    </w:p>
    <w:p>
      <w:pPr>
        <w:pStyle w:val="Heading1"/>
        <w:spacing w:after="140" w:before="280"/>
      </w:pPr>
      <w:r>
        <w:t xml:space="preserve">5. Separación del colapso: la hipótesis de la NT-01</w:t>
      </w:r>
    </w:p>
    <w:p>
      <w:pPr>
        <w:spacing w:after="120"/>
      </w:pPr>
      <w:r>
        <w:t xml:space="preserve">La tendencia por nivel es la evidencia directa de la hipótesis § 5.3. En M = 25 los niveles 0,90 y 0,95 comparten cobertura porque comparten índice de umbral; al crecer n_calib, los índices se separan y las coberturas los siguen.</w:t>
      </w:r>
    </w:p>
    <w:p>
      <w:pPr>
        <w:spacing w:after="160"/>
      </w:pP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1900"/>
        <w:gridCol w:w="1900"/>
      </w:tblGrid>
      <w:tr>
        <w:tc>
          <w:tcPr>
            <w:tcW w:type="dxa" w:w="1300"/>
            <w:shd w:fill="E8E8E8" w:val="clear"/>
            <w:tcMar>
              <w:top w:type="dxa" w:w="50"/>
              <w:left w:type="dxa" w:w="80"/>
              <w:bottom w:type="dxa" w:w="50"/>
              <w:right w:type="dxa" w:w="80"/>
            </w:tcMar>
          </w:tcPr>
          <w:p>
            <w:pPr>
              <w:jc w:val="center"/>
            </w:pPr>
            <w:r>
              <w:rPr>
                <w:b/>
                <w:bCs/>
                <w:sz w:val="17"/>
                <w:szCs w:val="17"/>
              </w:rPr>
              <w:t xml:space="preserve">Nivel</w:t>
            </w:r>
          </w:p>
        </w:tc>
        <w:tc>
          <w:tcPr>
            <w:tcW w:type="dxa" w:w="1900"/>
            <w:shd w:fill="E8E8E8" w:val="clear"/>
            <w:tcMar>
              <w:top w:type="dxa" w:w="50"/>
              <w:left w:type="dxa" w:w="80"/>
              <w:bottom w:type="dxa" w:w="50"/>
              <w:right w:type="dxa" w:w="80"/>
            </w:tcMar>
          </w:tcPr>
          <w:p>
            <w:pPr>
              <w:jc w:val="center"/>
            </w:pPr>
            <w:r>
              <w:rPr>
                <w:b/>
                <w:bCs/>
                <w:sz w:val="17"/>
                <w:szCs w:val="17"/>
              </w:rPr>
              <w:t xml:space="preserve">M = 25</w:t>
            </w:r>
          </w:p>
        </w:tc>
        <w:tc>
          <w:tcPr>
            <w:tcW w:type="dxa" w:w="1900"/>
            <w:shd w:fill="E8E8E8" w:val="clear"/>
            <w:tcMar>
              <w:top w:type="dxa" w:w="50"/>
              <w:left w:type="dxa" w:w="80"/>
              <w:bottom w:type="dxa" w:w="50"/>
              <w:right w:type="dxa" w:w="80"/>
            </w:tcMar>
          </w:tcPr>
          <w:p>
            <w:pPr>
              <w:jc w:val="center"/>
            </w:pPr>
            <w:r>
              <w:rPr>
                <w:b/>
                <w:bCs/>
                <w:sz w:val="17"/>
                <w:szCs w:val="17"/>
              </w:rPr>
              <w:t xml:space="preserve">M = 40</w:t>
            </w:r>
          </w:p>
        </w:tc>
        <w:tc>
          <w:tcPr>
            <w:tcW w:type="dxa" w:w="1900"/>
            <w:shd w:fill="E8E8E8" w:val="clear"/>
            <w:tcMar>
              <w:top w:type="dxa" w:w="50"/>
              <w:left w:type="dxa" w:w="80"/>
              <w:bottom w:type="dxa" w:w="50"/>
              <w:right w:type="dxa" w:w="80"/>
            </w:tcMar>
          </w:tcPr>
          <w:p>
            <w:pPr>
              <w:jc w:val="center"/>
            </w:pPr>
            <w:r>
              <w:rPr>
                <w:b/>
                <w:bCs/>
                <w:sz w:val="17"/>
                <w:szCs w:val="17"/>
              </w:rPr>
              <w:t xml:space="preserve">M = 50</w:t>
            </w:r>
          </w:p>
        </w:tc>
      </w:tr>
      <w:tr>
        <w:tc>
          <w:tcPr>
            <w:tcW w:type="dxa" w:w="1300"/>
            <w:tcMar>
              <w:top w:type="dxa" w:w="50"/>
              <w:left w:type="dxa" w:w="80"/>
              <w:bottom w:type="dxa" w:w="50"/>
              <w:right w:type="dxa" w:w="80"/>
            </w:tcMar>
          </w:tcPr>
          <w:p>
            <w:pPr>
              <w:jc w:val="center"/>
            </w:pPr>
            <w:r>
              <w:rPr>
                <w:b w:val="false"/>
                <w:bCs w:val="false"/>
                <w:sz w:val="17"/>
                <w:szCs w:val="17"/>
              </w:rPr>
              <w:t xml:space="preserve">0,30</w:t>
            </w:r>
          </w:p>
        </w:tc>
        <w:tc>
          <w:tcPr>
            <w:tcW w:type="dxa" w:w="1900"/>
            <w:tcMar>
              <w:top w:type="dxa" w:w="50"/>
              <w:left w:type="dxa" w:w="80"/>
              <w:bottom w:type="dxa" w:w="50"/>
              <w:right w:type="dxa" w:w="80"/>
            </w:tcMar>
          </w:tcPr>
          <w:p>
            <w:pPr>
              <w:jc w:val="center"/>
            </w:pPr>
            <w:r>
              <w:rPr>
                <w:b w:val="false"/>
                <w:bCs w:val="false"/>
                <w:sz w:val="17"/>
                <w:szCs w:val="17"/>
              </w:rPr>
              <w:t xml:space="preserve">30,57 %</w:t>
            </w:r>
          </w:p>
        </w:tc>
        <w:tc>
          <w:tcPr>
            <w:tcW w:type="dxa" w:w="1900"/>
            <w:tcMar>
              <w:top w:type="dxa" w:w="50"/>
              <w:left w:type="dxa" w:w="80"/>
              <w:bottom w:type="dxa" w:w="50"/>
              <w:right w:type="dxa" w:w="80"/>
            </w:tcMar>
          </w:tcPr>
          <w:p>
            <w:pPr>
              <w:jc w:val="center"/>
            </w:pPr>
            <w:r>
              <w:rPr>
                <w:b w:val="false"/>
                <w:bCs w:val="false"/>
                <w:sz w:val="17"/>
                <w:szCs w:val="17"/>
              </w:rPr>
              <w:t xml:space="preserve">33,51 %</w:t>
            </w:r>
          </w:p>
        </w:tc>
        <w:tc>
          <w:tcPr>
            <w:tcW w:type="dxa" w:w="1900"/>
            <w:tcMar>
              <w:top w:type="dxa" w:w="50"/>
              <w:left w:type="dxa" w:w="80"/>
              <w:bottom w:type="dxa" w:w="50"/>
              <w:right w:type="dxa" w:w="80"/>
            </w:tcMar>
          </w:tcPr>
          <w:p>
            <w:pPr>
              <w:jc w:val="center"/>
            </w:pPr>
            <w:r>
              <w:rPr>
                <w:b w:val="false"/>
                <w:bCs w:val="false"/>
                <w:sz w:val="17"/>
                <w:szCs w:val="17"/>
              </w:rPr>
              <w:t xml:space="preserve">31,41 %</w:t>
            </w:r>
          </w:p>
        </w:tc>
      </w:tr>
      <w:tr>
        <w:tc>
          <w:tcPr>
            <w:tcW w:type="dxa" w:w="1300"/>
            <w:tcMar>
              <w:top w:type="dxa" w:w="50"/>
              <w:left w:type="dxa" w:w="80"/>
              <w:bottom w:type="dxa" w:w="50"/>
              <w:right w:type="dxa" w:w="80"/>
            </w:tcMar>
          </w:tcPr>
          <w:p>
            <w:pPr>
              <w:jc w:val="center"/>
            </w:pPr>
            <w:r>
              <w:rPr>
                <w:b w:val="false"/>
                <w:bCs w:val="false"/>
                <w:sz w:val="17"/>
                <w:szCs w:val="17"/>
              </w:rPr>
              <w:t xml:space="preserve">0,50</w:t>
            </w:r>
          </w:p>
        </w:tc>
        <w:tc>
          <w:tcPr>
            <w:tcW w:type="dxa" w:w="1900"/>
            <w:tcMar>
              <w:top w:type="dxa" w:w="50"/>
              <w:left w:type="dxa" w:w="80"/>
              <w:bottom w:type="dxa" w:w="50"/>
              <w:right w:type="dxa" w:w="80"/>
            </w:tcMar>
          </w:tcPr>
          <w:p>
            <w:pPr>
              <w:jc w:val="center"/>
            </w:pPr>
            <w:r>
              <w:rPr>
                <w:b w:val="false"/>
                <w:bCs w:val="false"/>
                <w:sz w:val="17"/>
                <w:szCs w:val="17"/>
              </w:rPr>
              <w:t xml:space="preserve">54,25 %</w:t>
            </w:r>
          </w:p>
        </w:tc>
        <w:tc>
          <w:tcPr>
            <w:tcW w:type="dxa" w:w="1900"/>
            <w:tcMar>
              <w:top w:type="dxa" w:w="50"/>
              <w:left w:type="dxa" w:w="80"/>
              <w:bottom w:type="dxa" w:w="50"/>
              <w:right w:type="dxa" w:w="80"/>
            </w:tcMar>
          </w:tcPr>
          <w:p>
            <w:pPr>
              <w:jc w:val="center"/>
            </w:pPr>
            <w:r>
              <w:rPr>
                <w:b w:val="false"/>
                <w:bCs w:val="false"/>
                <w:sz w:val="17"/>
                <w:szCs w:val="17"/>
              </w:rPr>
              <w:t xml:space="preserve">52,93 %</w:t>
            </w:r>
          </w:p>
        </w:tc>
        <w:tc>
          <w:tcPr>
            <w:tcW w:type="dxa" w:w="1900"/>
            <w:tcMar>
              <w:top w:type="dxa" w:w="50"/>
              <w:left w:type="dxa" w:w="80"/>
              <w:bottom w:type="dxa" w:w="50"/>
              <w:right w:type="dxa" w:w="80"/>
            </w:tcMar>
          </w:tcPr>
          <w:p>
            <w:pPr>
              <w:jc w:val="center"/>
            </w:pPr>
            <w:r>
              <w:rPr>
                <w:b w:val="false"/>
                <w:bCs w:val="false"/>
                <w:sz w:val="17"/>
                <w:szCs w:val="17"/>
              </w:rPr>
              <w:t xml:space="preserve">50,47 %</w:t>
            </w:r>
          </w:p>
        </w:tc>
      </w:tr>
      <w:tr>
        <w:tc>
          <w:tcPr>
            <w:tcW w:type="dxa" w:w="1300"/>
            <w:tcMar>
              <w:top w:type="dxa" w:w="50"/>
              <w:left w:type="dxa" w:w="80"/>
              <w:bottom w:type="dxa" w:w="50"/>
              <w:right w:type="dxa" w:w="80"/>
            </w:tcMar>
          </w:tcPr>
          <w:p>
            <w:pPr>
              <w:jc w:val="center"/>
            </w:pPr>
            <w:r>
              <w:rPr>
                <w:b w:val="false"/>
                <w:bCs w:val="false"/>
                <w:sz w:val="17"/>
                <w:szCs w:val="17"/>
              </w:rPr>
              <w:t xml:space="preserve">0,80</w:t>
            </w:r>
          </w:p>
        </w:tc>
        <w:tc>
          <w:tcPr>
            <w:tcW w:type="dxa" w:w="1900"/>
            <w:tcMar>
              <w:top w:type="dxa" w:w="50"/>
              <w:left w:type="dxa" w:w="80"/>
              <w:bottom w:type="dxa" w:w="50"/>
              <w:right w:type="dxa" w:w="80"/>
            </w:tcMar>
          </w:tcPr>
          <w:p>
            <w:pPr>
              <w:jc w:val="center"/>
            </w:pPr>
            <w:r>
              <w:rPr>
                <w:b w:val="false"/>
                <w:bCs w:val="false"/>
                <w:sz w:val="17"/>
                <w:szCs w:val="17"/>
              </w:rPr>
              <w:t xml:space="preserve">84,25 %</w:t>
            </w:r>
          </w:p>
        </w:tc>
        <w:tc>
          <w:tcPr>
            <w:tcW w:type="dxa" w:w="1900"/>
            <w:tcMar>
              <w:top w:type="dxa" w:w="50"/>
              <w:left w:type="dxa" w:w="80"/>
              <w:bottom w:type="dxa" w:w="50"/>
              <w:right w:type="dxa" w:w="80"/>
            </w:tcMar>
          </w:tcPr>
          <w:p>
            <w:pPr>
              <w:jc w:val="center"/>
            </w:pPr>
            <w:r>
              <w:rPr>
                <w:b w:val="false"/>
                <w:bCs w:val="false"/>
                <w:sz w:val="17"/>
                <w:szCs w:val="17"/>
              </w:rPr>
              <w:t xml:space="preserve">80,87 %</w:t>
            </w:r>
          </w:p>
        </w:tc>
        <w:tc>
          <w:tcPr>
            <w:tcW w:type="dxa" w:w="1900"/>
            <w:tcMar>
              <w:top w:type="dxa" w:w="50"/>
              <w:left w:type="dxa" w:w="80"/>
              <w:bottom w:type="dxa" w:w="50"/>
              <w:right w:type="dxa" w:w="80"/>
            </w:tcMar>
          </w:tcPr>
          <w:p>
            <w:pPr>
              <w:jc w:val="center"/>
            </w:pPr>
            <w:r>
              <w:rPr>
                <w:b w:val="false"/>
                <w:bCs w:val="false"/>
                <w:sz w:val="17"/>
                <w:szCs w:val="17"/>
              </w:rPr>
              <w:t xml:space="preserve">80,92 %</w:t>
            </w:r>
          </w:p>
        </w:tc>
      </w:tr>
      <w:tr>
        <w:tc>
          <w:tcPr>
            <w:tcW w:type="dxa" w:w="1300"/>
            <w:tcMar>
              <w:top w:type="dxa" w:w="50"/>
              <w:left w:type="dxa" w:w="80"/>
              <w:bottom w:type="dxa" w:w="50"/>
              <w:right w:type="dxa" w:w="80"/>
            </w:tcMar>
          </w:tcPr>
          <w:p>
            <w:pPr>
              <w:jc w:val="center"/>
            </w:pPr>
            <w:r>
              <w:rPr>
                <w:b w:val="false"/>
                <w:bCs w:val="false"/>
                <w:sz w:val="17"/>
                <w:szCs w:val="17"/>
              </w:rPr>
              <w:t xml:space="preserve">0,90</w:t>
            </w:r>
          </w:p>
        </w:tc>
        <w:tc>
          <w:tcPr>
            <w:tcW w:type="dxa" w:w="1900"/>
            <w:tcMar>
              <w:top w:type="dxa" w:w="50"/>
              <w:left w:type="dxa" w:w="80"/>
              <w:bottom w:type="dxa" w:w="50"/>
              <w:right w:type="dxa" w:w="80"/>
            </w:tcMar>
          </w:tcPr>
          <w:p>
            <w:pPr>
              <w:jc w:val="center"/>
            </w:pPr>
            <w:r>
              <w:rPr>
                <w:b w:val="false"/>
                <w:bCs w:val="false"/>
                <w:sz w:val="17"/>
                <w:szCs w:val="17"/>
              </w:rPr>
              <w:t xml:space="preserve">92,06 %</w:t>
            </w:r>
          </w:p>
        </w:tc>
        <w:tc>
          <w:tcPr>
            <w:tcW w:type="dxa" w:w="1900"/>
            <w:tcMar>
              <w:top w:type="dxa" w:w="50"/>
              <w:left w:type="dxa" w:w="80"/>
              <w:bottom w:type="dxa" w:w="50"/>
              <w:right w:type="dxa" w:w="80"/>
            </w:tcMar>
          </w:tcPr>
          <w:p>
            <w:pPr>
              <w:jc w:val="center"/>
            </w:pPr>
            <w:r>
              <w:rPr>
                <w:b w:val="false"/>
                <w:bCs w:val="false"/>
                <w:sz w:val="17"/>
                <w:szCs w:val="17"/>
              </w:rPr>
              <w:t xml:space="preserve">90,13 %</w:t>
            </w:r>
          </w:p>
        </w:tc>
        <w:tc>
          <w:tcPr>
            <w:tcW w:type="dxa" w:w="1900"/>
            <w:tcMar>
              <w:top w:type="dxa" w:w="50"/>
              <w:left w:type="dxa" w:w="80"/>
              <w:bottom w:type="dxa" w:w="50"/>
              <w:right w:type="dxa" w:w="80"/>
            </w:tcMar>
          </w:tcPr>
          <w:p>
            <w:pPr>
              <w:jc w:val="center"/>
            </w:pPr>
            <w:r>
              <w:rPr>
                <w:b w:val="false"/>
                <w:bCs w:val="false"/>
                <w:sz w:val="17"/>
                <w:szCs w:val="17"/>
              </w:rPr>
              <w:t xml:space="preserve">92,34 %</w:t>
            </w:r>
          </w:p>
        </w:tc>
      </w:tr>
      <w:tr>
        <w:tc>
          <w:tcPr>
            <w:tcW w:type="dxa" w:w="1300"/>
            <w:tcMar>
              <w:top w:type="dxa" w:w="50"/>
              <w:left w:type="dxa" w:w="80"/>
              <w:bottom w:type="dxa" w:w="50"/>
              <w:right w:type="dxa" w:w="80"/>
            </w:tcMar>
          </w:tcPr>
          <w:p>
            <w:pPr>
              <w:jc w:val="center"/>
            </w:pPr>
            <w:r>
              <w:rPr>
                <w:b w:val="false"/>
                <w:bCs w:val="false"/>
                <w:sz w:val="17"/>
                <w:szCs w:val="17"/>
              </w:rPr>
              <w:t xml:space="preserve">0,95</w:t>
            </w:r>
          </w:p>
        </w:tc>
        <w:tc>
          <w:tcPr>
            <w:tcW w:type="dxa" w:w="1900"/>
            <w:tcMar>
              <w:top w:type="dxa" w:w="50"/>
              <w:left w:type="dxa" w:w="80"/>
              <w:bottom w:type="dxa" w:w="50"/>
              <w:right w:type="dxa" w:w="80"/>
            </w:tcMar>
          </w:tcPr>
          <w:p>
            <w:pPr>
              <w:jc w:val="center"/>
            </w:pPr>
            <w:r>
              <w:rPr>
                <w:b w:val="false"/>
                <w:bCs w:val="false"/>
                <w:sz w:val="17"/>
                <w:szCs w:val="17"/>
              </w:rPr>
              <w:t xml:space="preserve">92,06 %</w:t>
            </w:r>
          </w:p>
        </w:tc>
        <w:tc>
          <w:tcPr>
            <w:tcW w:type="dxa" w:w="1900"/>
            <w:tcMar>
              <w:top w:type="dxa" w:w="50"/>
              <w:left w:type="dxa" w:w="80"/>
              <w:bottom w:type="dxa" w:w="50"/>
              <w:right w:type="dxa" w:w="80"/>
            </w:tcMar>
          </w:tcPr>
          <w:p>
            <w:pPr>
              <w:jc w:val="center"/>
            </w:pPr>
            <w:r>
              <w:rPr>
                <w:b w:val="false"/>
                <w:bCs w:val="false"/>
                <w:sz w:val="17"/>
                <w:szCs w:val="17"/>
              </w:rPr>
              <w:t xml:space="preserve">95,20 %</w:t>
            </w:r>
          </w:p>
        </w:tc>
        <w:tc>
          <w:tcPr>
            <w:tcW w:type="dxa" w:w="1900"/>
            <w:tcMar>
              <w:top w:type="dxa" w:w="50"/>
              <w:left w:type="dxa" w:w="80"/>
              <w:bottom w:type="dxa" w:w="50"/>
              <w:right w:type="dxa" w:w="80"/>
            </w:tcMar>
          </w:tcPr>
          <w:p>
            <w:pPr>
              <w:jc w:val="center"/>
            </w:pPr>
            <w:r>
              <w:rPr>
                <w:b w:val="false"/>
                <w:bCs w:val="false"/>
                <w:sz w:val="17"/>
                <w:szCs w:val="17"/>
              </w:rPr>
              <w:t xml:space="preserve">96,32 %</w:t>
            </w:r>
          </w:p>
        </w:tc>
      </w:tr>
    </w:tbl>
    <w:p>
      <w:pPr>
        <w:spacing w:after="160"/>
      </w:pPr>
    </w:p>
    <w:p>
      <w:pPr>
        <w:spacing w:after="120"/>
      </w:pPr>
      <w:r>
        <w:t xml:space="preserve">El colapso también es visible en los datos crudos y no solo en la cobertura: en M = 25 la mediana del radio τ al nivel 0,90 y al nivel 0,95 coincide hasta el último dígito significativo, 0,0060338 en ambos casos, porque es literalmente el mismo umbral. En M = 40 y M = 50 los dos valores difieren.</w:t>
      </w:r>
    </w:p>
    <w:p>
      <w:pPr>
        <w:spacing w:after="120"/>
      </w:pPr>
      <w:r>
        <w:t xml:space="preserve">El criterio C11.a, que exige coberturas realizadas distintas en los niveles 0,90 y 0,95, se cumple en M = 40 y M = 50 y no se cumple en M = 25. Eso es el resultado esperado por construcción, y por eso su alcance quedó prerregistrado únicamente para los dos valores altos.</w:t>
      </w:r>
    </w:p>
    <w:p>
      <w:pPr>
        <w:pStyle w:val="Heading1"/>
        <w:spacing w:after="140" w:before="280"/>
      </w:pPr>
      <w:r>
        <w:t xml:space="preserve">6. Agudeza: el nivel alto se habilitó sin pagar ancho</w:t>
      </w:r>
    </w:p>
    <w:p>
      <w:pPr>
        <w:spacing w:after="120"/>
      </w:pPr>
      <w:r>
        <w:t xml:space="preserve">El riesgo que motivó el criterio C11.f(ii) era que habilitar un nivel nominal más alto se lograra simplemente inflando las regiones, en cuyo caso la cobertura sería válida y el instrumento inútil. El criterio exigía que la mediana de τ al nivel 0,95 no superara en más de un 7,6 % a la del nivel 0,90.</w:t>
      </w:r>
    </w:p>
    <w:p>
      <w:pPr>
        <w:spacing w:after="160"/>
      </w:pP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1900"/>
        <w:gridCol w:w="1900"/>
      </w:tblGrid>
      <w:tr>
        <w:tc>
          <w:tcPr>
            <w:tcW w:type="dxa" w:w="1300"/>
            <w:shd w:fill="E8E8E8" w:val="clear"/>
            <w:tcMar>
              <w:top w:type="dxa" w:w="50"/>
              <w:left w:type="dxa" w:w="80"/>
              <w:bottom w:type="dxa" w:w="50"/>
              <w:right w:type="dxa" w:w="80"/>
            </w:tcMar>
          </w:tcPr>
          <w:p>
            <w:pPr>
              <w:jc w:val="center"/>
            </w:pPr>
            <w:r>
              <w:rPr>
                <w:b/>
                <w:bCs/>
                <w:sz w:val="17"/>
                <w:szCs w:val="17"/>
              </w:rPr>
              <w:t xml:space="preserve">Métrica</w:t>
            </w:r>
          </w:p>
        </w:tc>
        <w:tc>
          <w:tcPr>
            <w:tcW w:type="dxa" w:w="1900"/>
            <w:shd w:fill="E8E8E8" w:val="clear"/>
            <w:tcMar>
              <w:top w:type="dxa" w:w="50"/>
              <w:left w:type="dxa" w:w="80"/>
              <w:bottom w:type="dxa" w:w="50"/>
              <w:right w:type="dxa" w:w="80"/>
            </w:tcMar>
          </w:tcPr>
          <w:p>
            <w:pPr>
              <w:jc w:val="center"/>
            </w:pPr>
            <w:r>
              <w:rPr>
                <w:b/>
                <w:bCs/>
                <w:sz w:val="17"/>
                <w:szCs w:val="17"/>
              </w:rPr>
              <w:t xml:space="preserve">M = 25</w:t>
            </w:r>
          </w:p>
        </w:tc>
        <w:tc>
          <w:tcPr>
            <w:tcW w:type="dxa" w:w="1900"/>
            <w:shd w:fill="E8E8E8" w:val="clear"/>
            <w:tcMar>
              <w:top w:type="dxa" w:w="50"/>
              <w:left w:type="dxa" w:w="80"/>
              <w:bottom w:type="dxa" w:w="50"/>
              <w:right w:type="dxa" w:w="80"/>
            </w:tcMar>
          </w:tcPr>
          <w:p>
            <w:pPr>
              <w:jc w:val="center"/>
            </w:pPr>
            <w:r>
              <w:rPr>
                <w:b/>
                <w:bCs/>
                <w:sz w:val="17"/>
                <w:szCs w:val="17"/>
              </w:rPr>
              <w:t xml:space="preserve">M = 40</w:t>
            </w:r>
          </w:p>
        </w:tc>
        <w:tc>
          <w:tcPr>
            <w:tcW w:type="dxa" w:w="1900"/>
            <w:shd w:fill="E8E8E8" w:val="clear"/>
            <w:tcMar>
              <w:top w:type="dxa" w:w="50"/>
              <w:left w:type="dxa" w:w="80"/>
              <w:bottom w:type="dxa" w:w="50"/>
              <w:right w:type="dxa" w:w="80"/>
            </w:tcMar>
          </w:tcPr>
          <w:p>
            <w:pPr>
              <w:jc w:val="center"/>
            </w:pPr>
            <w:r>
              <w:rPr>
                <w:b/>
                <w:bCs/>
                <w:sz w:val="17"/>
                <w:szCs w:val="17"/>
              </w:rPr>
              <w:t xml:space="preserve">M = 50</w:t>
            </w:r>
          </w:p>
        </w:tc>
      </w:tr>
      <w:tr>
        <w:tc>
          <w:tcPr>
            <w:tcW w:type="dxa" w:w="1300"/>
            <w:tcMar>
              <w:top w:type="dxa" w:w="50"/>
              <w:left w:type="dxa" w:w="80"/>
              <w:bottom w:type="dxa" w:w="50"/>
              <w:right w:type="dxa" w:w="80"/>
            </w:tcMar>
          </w:tcPr>
          <w:p>
            <w:pPr>
              <w:jc w:val="center"/>
            </w:pPr>
            <w:r>
              <w:rPr>
                <w:b w:val="false"/>
                <w:bCs w:val="false"/>
                <w:sz w:val="17"/>
                <w:szCs w:val="17"/>
              </w:rPr>
              <w:t xml:space="preserve">τ mediana 0,90</w:t>
            </w:r>
          </w:p>
        </w:tc>
        <w:tc>
          <w:tcPr>
            <w:tcW w:type="dxa" w:w="1900"/>
            <w:tcMar>
              <w:top w:type="dxa" w:w="50"/>
              <w:left w:type="dxa" w:w="80"/>
              <w:bottom w:type="dxa" w:w="50"/>
              <w:right w:type="dxa" w:w="80"/>
            </w:tcMar>
          </w:tcPr>
          <w:p>
            <w:pPr>
              <w:jc w:val="center"/>
            </w:pPr>
            <w:r>
              <w:rPr>
                <w:b w:val="false"/>
                <w:bCs w:val="false"/>
                <w:sz w:val="17"/>
                <w:szCs w:val="17"/>
              </w:rPr>
              <w:t xml:space="preserve">0,0060338</w:t>
            </w:r>
          </w:p>
        </w:tc>
        <w:tc>
          <w:tcPr>
            <w:tcW w:type="dxa" w:w="1900"/>
            <w:tcMar>
              <w:top w:type="dxa" w:w="50"/>
              <w:left w:type="dxa" w:w="80"/>
              <w:bottom w:type="dxa" w:w="50"/>
              <w:right w:type="dxa" w:w="80"/>
            </w:tcMar>
          </w:tcPr>
          <w:p>
            <w:pPr>
              <w:jc w:val="center"/>
            </w:pPr>
            <w:r>
              <w:rPr>
                <w:b w:val="false"/>
                <w:bCs w:val="false"/>
                <w:sz w:val="17"/>
                <w:szCs w:val="17"/>
              </w:rPr>
              <w:t xml:space="preserve">0,0059216</w:t>
            </w:r>
          </w:p>
        </w:tc>
        <w:tc>
          <w:tcPr>
            <w:tcW w:type="dxa" w:w="1900"/>
            <w:tcMar>
              <w:top w:type="dxa" w:w="50"/>
              <w:left w:type="dxa" w:w="80"/>
              <w:bottom w:type="dxa" w:w="50"/>
              <w:right w:type="dxa" w:w="80"/>
            </w:tcMar>
          </w:tcPr>
          <w:p>
            <w:pPr>
              <w:jc w:val="center"/>
            </w:pPr>
            <w:r>
              <w:rPr>
                <w:b w:val="false"/>
                <w:bCs w:val="false"/>
                <w:sz w:val="17"/>
                <w:szCs w:val="17"/>
              </w:rPr>
              <w:t xml:space="preserve">0,0059226</w:t>
            </w:r>
          </w:p>
        </w:tc>
      </w:tr>
      <w:tr>
        <w:tc>
          <w:tcPr>
            <w:tcW w:type="dxa" w:w="1300"/>
            <w:tcMar>
              <w:top w:type="dxa" w:w="50"/>
              <w:left w:type="dxa" w:w="80"/>
              <w:bottom w:type="dxa" w:w="50"/>
              <w:right w:type="dxa" w:w="80"/>
            </w:tcMar>
          </w:tcPr>
          <w:p>
            <w:pPr>
              <w:jc w:val="center"/>
            </w:pPr>
            <w:r>
              <w:rPr>
                <w:b w:val="false"/>
                <w:bCs w:val="false"/>
                <w:sz w:val="17"/>
                <w:szCs w:val="17"/>
              </w:rPr>
              <w:t xml:space="preserve">τ mediana 0,95</w:t>
            </w:r>
          </w:p>
        </w:tc>
        <w:tc>
          <w:tcPr>
            <w:tcW w:type="dxa" w:w="1900"/>
            <w:tcMar>
              <w:top w:type="dxa" w:w="50"/>
              <w:left w:type="dxa" w:w="80"/>
              <w:bottom w:type="dxa" w:w="50"/>
              <w:right w:type="dxa" w:w="80"/>
            </w:tcMar>
          </w:tcPr>
          <w:p>
            <w:pPr>
              <w:jc w:val="center"/>
            </w:pPr>
            <w:r>
              <w:rPr>
                <w:b w:val="false"/>
                <w:bCs w:val="false"/>
                <w:sz w:val="17"/>
                <w:szCs w:val="17"/>
              </w:rPr>
              <w:t xml:space="preserve">0,0060338</w:t>
            </w:r>
          </w:p>
        </w:tc>
        <w:tc>
          <w:tcPr>
            <w:tcW w:type="dxa" w:w="1900"/>
            <w:tcMar>
              <w:top w:type="dxa" w:w="50"/>
              <w:left w:type="dxa" w:w="80"/>
              <w:bottom w:type="dxa" w:w="50"/>
              <w:right w:type="dxa" w:w="80"/>
            </w:tcMar>
          </w:tcPr>
          <w:p>
            <w:pPr>
              <w:jc w:val="center"/>
            </w:pPr>
            <w:r>
              <w:rPr>
                <w:b w:val="false"/>
                <w:bCs w:val="false"/>
                <w:sz w:val="17"/>
                <w:szCs w:val="17"/>
              </w:rPr>
              <w:t xml:space="preserve">0,0059824</w:t>
            </w:r>
          </w:p>
        </w:tc>
        <w:tc>
          <w:tcPr>
            <w:tcW w:type="dxa" w:w="1900"/>
            <w:tcMar>
              <w:top w:type="dxa" w:w="50"/>
              <w:left w:type="dxa" w:w="80"/>
              <w:bottom w:type="dxa" w:w="50"/>
              <w:right w:type="dxa" w:w="80"/>
            </w:tcMar>
          </w:tcPr>
          <w:p>
            <w:pPr>
              <w:jc w:val="center"/>
            </w:pPr>
            <w:r>
              <w:rPr>
                <w:b w:val="false"/>
                <w:bCs w:val="false"/>
                <w:sz w:val="17"/>
                <w:szCs w:val="17"/>
              </w:rPr>
              <w:t xml:space="preserve">0,0059881</w:t>
            </w:r>
          </w:p>
        </w:tc>
      </w:tr>
      <w:tr>
        <w:tc>
          <w:tcPr>
            <w:tcW w:type="dxa" w:w="1300"/>
            <w:tcMar>
              <w:top w:type="dxa" w:w="50"/>
              <w:left w:type="dxa" w:w="80"/>
              <w:bottom w:type="dxa" w:w="50"/>
              <w:right w:type="dxa" w:w="80"/>
            </w:tcMar>
          </w:tcPr>
          <w:p>
            <w:pPr>
              <w:jc w:val="center"/>
            </w:pPr>
            <w:r>
              <w:rPr>
                <w:b w:val="false"/>
                <w:bCs w:val="false"/>
                <w:sz w:val="17"/>
                <w:szCs w:val="17"/>
              </w:rPr>
              <w:t xml:space="preserve">Cociente 0,95/0,90</w:t>
            </w:r>
          </w:p>
        </w:tc>
        <w:tc>
          <w:tcPr>
            <w:tcW w:type="dxa" w:w="1900"/>
            <w:tcMar>
              <w:top w:type="dxa" w:w="50"/>
              <w:left w:type="dxa" w:w="80"/>
              <w:bottom w:type="dxa" w:w="50"/>
              <w:right w:type="dxa" w:w="80"/>
            </w:tcMar>
          </w:tcPr>
          <w:p>
            <w:pPr>
              <w:jc w:val="center"/>
            </w:pPr>
            <w:r>
              <w:rPr>
                <w:b w:val="false"/>
                <w:bCs w:val="false"/>
                <w:sz w:val="17"/>
                <w:szCs w:val="17"/>
              </w:rPr>
              <w:t xml:space="preserve">1,0000</w:t>
            </w:r>
          </w:p>
        </w:tc>
        <w:tc>
          <w:tcPr>
            <w:tcW w:type="dxa" w:w="1900"/>
            <w:tcMar>
              <w:top w:type="dxa" w:w="50"/>
              <w:left w:type="dxa" w:w="80"/>
              <w:bottom w:type="dxa" w:w="50"/>
              <w:right w:type="dxa" w:w="80"/>
            </w:tcMar>
          </w:tcPr>
          <w:p>
            <w:pPr>
              <w:jc w:val="center"/>
            </w:pPr>
            <w:r>
              <w:rPr>
                <w:b w:val="false"/>
                <w:bCs w:val="false"/>
                <w:sz w:val="17"/>
                <w:szCs w:val="17"/>
              </w:rPr>
              <w:t xml:space="preserve">1,0103</w:t>
            </w:r>
          </w:p>
        </w:tc>
        <w:tc>
          <w:tcPr>
            <w:tcW w:type="dxa" w:w="1900"/>
            <w:tcMar>
              <w:top w:type="dxa" w:w="50"/>
              <w:left w:type="dxa" w:w="80"/>
              <w:bottom w:type="dxa" w:w="50"/>
              <w:right w:type="dxa" w:w="80"/>
            </w:tcMar>
          </w:tcPr>
          <w:p>
            <w:pPr>
              <w:jc w:val="center"/>
            </w:pPr>
            <w:r>
              <w:rPr>
                <w:b w:val="false"/>
                <w:bCs w:val="false"/>
                <w:sz w:val="17"/>
                <w:szCs w:val="17"/>
              </w:rPr>
              <w:t xml:space="preserve">1,0111</w:t>
            </w:r>
          </w:p>
        </w:tc>
      </w:tr>
      <w:tr>
        <w:tc>
          <w:tcPr>
            <w:tcW w:type="dxa" w:w="1300"/>
            <w:tcMar>
              <w:top w:type="dxa" w:w="50"/>
              <w:left w:type="dxa" w:w="80"/>
              <w:bottom w:type="dxa" w:w="50"/>
              <w:right w:type="dxa" w:w="80"/>
            </w:tcMar>
          </w:tcPr>
          <w:p>
            <w:pPr>
              <w:jc w:val="center"/>
            </w:pPr>
            <w:r>
              <w:rPr>
                <w:b w:val="false"/>
                <w:bCs w:val="false"/>
                <w:sz w:val="17"/>
                <w:szCs w:val="17"/>
              </w:rPr>
              <w:t xml:space="preserve">Proxy mediana</w:t>
            </w:r>
          </w:p>
        </w:tc>
        <w:tc>
          <w:tcPr>
            <w:tcW w:type="dxa" w:w="1900"/>
            <w:tcMar>
              <w:top w:type="dxa" w:w="50"/>
              <w:left w:type="dxa" w:w="80"/>
              <w:bottom w:type="dxa" w:w="50"/>
              <w:right w:type="dxa" w:w="80"/>
            </w:tcMar>
          </w:tcPr>
          <w:p>
            <w:pPr>
              <w:jc w:val="center"/>
            </w:pPr>
            <w:r>
              <w:rPr>
                <w:b w:val="false"/>
                <w:bCs w:val="false"/>
                <w:sz w:val="17"/>
                <w:szCs w:val="17"/>
              </w:rPr>
              <w:t xml:space="preserve">0,004914</w:t>
            </w:r>
          </w:p>
        </w:tc>
        <w:tc>
          <w:tcPr>
            <w:tcW w:type="dxa" w:w="1900"/>
            <w:tcMar>
              <w:top w:type="dxa" w:w="50"/>
              <w:left w:type="dxa" w:w="80"/>
              <w:bottom w:type="dxa" w:w="50"/>
              <w:right w:type="dxa" w:w="80"/>
            </w:tcMar>
          </w:tcPr>
          <w:p>
            <w:pPr>
              <w:jc w:val="center"/>
            </w:pPr>
            <w:r>
              <w:rPr>
                <w:b w:val="false"/>
                <w:bCs w:val="false"/>
                <w:sz w:val="17"/>
                <w:szCs w:val="17"/>
              </w:rPr>
              <w:t xml:space="preserve">0,004812</w:t>
            </w:r>
          </w:p>
        </w:tc>
        <w:tc>
          <w:tcPr>
            <w:tcW w:type="dxa" w:w="1900"/>
            <w:tcMar>
              <w:top w:type="dxa" w:w="50"/>
              <w:left w:type="dxa" w:w="80"/>
              <w:bottom w:type="dxa" w:w="50"/>
              <w:right w:type="dxa" w:w="80"/>
            </w:tcMar>
          </w:tcPr>
          <w:p>
            <w:pPr>
              <w:jc w:val="center"/>
            </w:pPr>
            <w:r>
              <w:rPr>
                <w:b w:val="false"/>
                <w:bCs w:val="false"/>
                <w:sz w:val="17"/>
                <w:szCs w:val="17"/>
              </w:rPr>
              <w:t xml:space="preserve">0,004736</w:t>
            </w:r>
          </w:p>
        </w:tc>
      </w:tr>
      <w:tr>
        <w:tc>
          <w:tcPr>
            <w:tcW w:type="dxa" w:w="1300"/>
            <w:tcMar>
              <w:top w:type="dxa" w:w="50"/>
              <w:left w:type="dxa" w:w="80"/>
              <w:bottom w:type="dxa" w:w="50"/>
              <w:right w:type="dxa" w:w="80"/>
            </w:tcMar>
          </w:tcPr>
          <w:p>
            <w:pPr>
              <w:jc w:val="center"/>
            </w:pPr>
            <w:r>
              <w:rPr>
                <w:b w:val="false"/>
                <w:bCs w:val="false"/>
                <w:sz w:val="17"/>
                <w:szCs w:val="17"/>
              </w:rPr>
              <w:t xml:space="preserve">Fracción proxy ≤ 1</w:t>
            </w:r>
          </w:p>
        </w:tc>
        <w:tc>
          <w:tcPr>
            <w:tcW w:type="dxa" w:w="1900"/>
            <w:tcMar>
              <w:top w:type="dxa" w:w="50"/>
              <w:left w:type="dxa" w:w="80"/>
              <w:bottom w:type="dxa" w:w="50"/>
              <w:right w:type="dxa" w:w="80"/>
            </w:tcMar>
          </w:tcPr>
          <w:p>
            <w:pPr>
              <w:jc w:val="center"/>
            </w:pPr>
            <w:r>
              <w:rPr>
                <w:b w:val="false"/>
                <w:bCs w:val="false"/>
                <w:sz w:val="17"/>
                <w:szCs w:val="17"/>
              </w:rPr>
              <w:t xml:space="preserve">1,000</w:t>
            </w:r>
          </w:p>
        </w:tc>
        <w:tc>
          <w:tcPr>
            <w:tcW w:type="dxa" w:w="1900"/>
            <w:tcMar>
              <w:top w:type="dxa" w:w="50"/>
              <w:left w:type="dxa" w:w="80"/>
              <w:bottom w:type="dxa" w:w="50"/>
              <w:right w:type="dxa" w:w="80"/>
            </w:tcMar>
          </w:tcPr>
          <w:p>
            <w:pPr>
              <w:jc w:val="center"/>
            </w:pPr>
            <w:r>
              <w:rPr>
                <w:b w:val="false"/>
                <w:bCs w:val="false"/>
                <w:sz w:val="17"/>
                <w:szCs w:val="17"/>
              </w:rPr>
              <w:t xml:space="preserve">0,998</w:t>
            </w:r>
          </w:p>
        </w:tc>
        <w:tc>
          <w:tcPr>
            <w:tcW w:type="dxa" w:w="1900"/>
            <w:tcMar>
              <w:top w:type="dxa" w:w="50"/>
              <w:left w:type="dxa" w:w="80"/>
              <w:bottom w:type="dxa" w:w="50"/>
              <w:right w:type="dxa" w:w="80"/>
            </w:tcMar>
          </w:tcPr>
          <w:p>
            <w:pPr>
              <w:jc w:val="center"/>
            </w:pPr>
            <w:r>
              <w:rPr>
                <w:b w:val="false"/>
                <w:bCs w:val="false"/>
                <w:sz w:val="17"/>
                <w:szCs w:val="17"/>
              </w:rPr>
              <w:t xml:space="preserve">1,000</w:t>
            </w:r>
          </w:p>
        </w:tc>
      </w:tr>
    </w:tbl>
    <w:p>
      <w:pPr>
        <w:spacing w:after="160"/>
      </w:pPr>
    </w:p>
    <w:p>
      <w:pPr>
        <w:spacing w:after="120"/>
      </w:pPr>
      <w:r>
        <w:t xml:space="preserve">Los cocientes quedaron en 1,0103 y 1,0111 contra un umbral de 1,076: la exigencia se cumplió con margen amplio.</w:t>
      </w:r>
    </w:p>
    <w:p>
      <w:pPr>
        <w:spacing w:after="120"/>
      </w:pPr>
      <w:r>
        <w:rPr>
          <w:b/>
          <w:bCs/>
        </w:rPr>
        <w:t xml:space="preserve">Pero la comparación entre valores de M arroja un resultado más fuerte que el criterio. </w:t>
      </w:r>
      <w:r>
        <w:t xml:space="preserve">La mediana de τ al nivel 0,95 vale 0,0060338 en M = 25, 0,0059824 en M = 40 y 0,0059881 en M = 50. Las regiones del nivel 0,95 en los dos valores altos son más pequeñas que las del nivel colapsado en M = 25, y sin embargo cubren 95,20 % y 96,32 % frente al 92,06 % de aquel. No hubo intercambio entre cobertura y agudeza: se ganaron entre tres y cuatro puntos de cobertura con regiones ligeramente más estrechas. El criterio prerregistrado solo verificaba la ausencia de inflación dentro de cada M; esta comparación muestra que tampoco la hubo entre valores de M.</w:t>
      </w:r>
    </w:p>
    <w:p>
      <w:pPr>
        <w:spacing w:after="120"/>
      </w:pPr>
      <w:r>
        <w:t xml:space="preserve">La mediana del proxy de tamaño se mantuvo prácticamente constante en los tres valores, con una leve tendencia a la baja. En M = 40 una sola celda de 600 superó el umbral de 1,0, lo que explica la fracción de 0,998; en M = 25 y M = 50 ninguna lo hizo.</w:t>
      </w:r>
    </w:p>
    <w:p>
      <w:pPr>
        <w:spacing w:after="120"/>
      </w:pPr>
      <w:r>
        <w:rPr>
          <w:b/>
          <w:bCs/>
        </w:rPr>
        <w:t xml:space="preserve">Nota para la calibración de v7.7-c. </w:t>
      </w:r>
      <w:r>
        <w:t xml:space="preserve">El umbral de C11.f(ii) se fijó como 1 + 3·(1,0254 − 1) = 1,076, tomando como referencia el crecimiento del radio por paso de índice medido en M = 25 sobre el salto 0,80 → 0,90. Los cocientes reales, ~1,011, resultaron menores que ese cociente de referencia de 1,0254, de modo que la holgura de k = 3 fue considerablemente más generosa de lo necesario. Si el criterio se reutiliza en v7.7-c, ahora hay base empírica directa para un umbral más ajustado, y ya no hace falta extrapolar desde un salto de índice distinto.</w:t>
      </w:r>
    </w:p>
    <w:p>
      <w:pPr>
        <w:pStyle w:val="Heading1"/>
        <w:spacing w:after="140" w:before="280"/>
      </w:pPr>
      <w:r>
        <w:t xml:space="preserve">7. Brazo de control: invariancia medida</w:t>
      </w:r>
    </w:p>
    <w:p>
      <w:pPr>
        <w:spacing w:after="120"/>
      </w:pPr>
      <w:r>
        <w:t xml:space="preserve">El control se corrió en M = 25 y M = 50, los extremos, conforme a la decisión D4. Su función es fallar: calibra contra el ensemble en lugar de contra ground truths, y su fallo sostenido es lo que impide atribuir la calibración del brazo principal a la maquinaria conformal genérica en vez de al método.</w:t>
      </w:r>
    </w:p>
    <w:p>
      <w:pPr>
        <w:spacing w:after="160"/>
      </w:pP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1400"/>
        <w:gridCol w:w="1400"/>
        <w:gridCol w:w="1400"/>
        <w:gridCol w:w="1400"/>
      </w:tblGrid>
      <w:tr>
        <w:tc>
          <w:tcPr>
            <w:tcW w:type="dxa" w:w="1300"/>
            <w:shd w:fill="E8E8E8" w:val="clear"/>
            <w:tcMar>
              <w:top w:type="dxa" w:w="50"/>
              <w:left w:type="dxa" w:w="80"/>
              <w:bottom w:type="dxa" w:w="50"/>
              <w:right w:type="dxa" w:w="80"/>
            </w:tcMar>
          </w:tcPr>
          <w:p>
            <w:pPr>
              <w:jc w:val="center"/>
            </w:pPr>
            <w:r>
              <w:rPr>
                <w:b/>
                <w:bCs/>
                <w:sz w:val="15"/>
                <w:szCs w:val="15"/>
              </w:rPr>
              <w:t xml:space="preserve">M</w:t>
            </w:r>
          </w:p>
        </w:tc>
        <w:tc>
          <w:tcPr>
            <w:tcW w:type="dxa" w:w="1400"/>
            <w:shd w:fill="E8E8E8" w:val="clear"/>
            <w:tcMar>
              <w:top w:type="dxa" w:w="50"/>
              <w:left w:type="dxa" w:w="80"/>
              <w:bottom w:type="dxa" w:w="50"/>
              <w:right w:type="dxa" w:w="80"/>
            </w:tcMar>
          </w:tcPr>
          <w:p>
            <w:pPr>
              <w:jc w:val="center"/>
            </w:pPr>
            <w:r>
              <w:rPr>
                <w:b/>
                <w:bCs/>
                <w:sz w:val="15"/>
                <w:szCs w:val="15"/>
              </w:rPr>
              <w:t xml:space="preserve">0,30</w:t>
            </w:r>
          </w:p>
        </w:tc>
        <w:tc>
          <w:tcPr>
            <w:tcW w:type="dxa" w:w="1400"/>
            <w:shd w:fill="E8E8E8" w:val="clear"/>
            <w:tcMar>
              <w:top w:type="dxa" w:w="50"/>
              <w:left w:type="dxa" w:w="80"/>
              <w:bottom w:type="dxa" w:w="50"/>
              <w:right w:type="dxa" w:w="80"/>
            </w:tcMar>
          </w:tcPr>
          <w:p>
            <w:pPr>
              <w:jc w:val="center"/>
            </w:pPr>
            <w:r>
              <w:rPr>
                <w:b/>
                <w:bCs/>
                <w:sz w:val="15"/>
                <w:szCs w:val="15"/>
              </w:rPr>
              <w:t xml:space="preserve">0,50</w:t>
            </w:r>
          </w:p>
        </w:tc>
        <w:tc>
          <w:tcPr>
            <w:tcW w:type="dxa" w:w="1400"/>
            <w:shd w:fill="E8E8E8" w:val="clear"/>
            <w:tcMar>
              <w:top w:type="dxa" w:w="50"/>
              <w:left w:type="dxa" w:w="80"/>
              <w:bottom w:type="dxa" w:w="50"/>
              <w:right w:type="dxa" w:w="80"/>
            </w:tcMar>
          </w:tcPr>
          <w:p>
            <w:pPr>
              <w:jc w:val="center"/>
            </w:pPr>
            <w:r>
              <w:rPr>
                <w:b/>
                <w:bCs/>
                <w:sz w:val="15"/>
                <w:szCs w:val="15"/>
              </w:rPr>
              <w:t xml:space="preserve">0,80</w:t>
            </w:r>
          </w:p>
        </w:tc>
        <w:tc>
          <w:tcPr>
            <w:tcW w:type="dxa" w:w="1400"/>
            <w:shd w:fill="E8E8E8" w:val="clear"/>
            <w:tcMar>
              <w:top w:type="dxa" w:w="50"/>
              <w:left w:type="dxa" w:w="80"/>
              <w:bottom w:type="dxa" w:w="50"/>
              <w:right w:type="dxa" w:w="80"/>
            </w:tcMar>
          </w:tcPr>
          <w:p>
            <w:pPr>
              <w:jc w:val="center"/>
            </w:pPr>
            <w:r>
              <w:rPr>
                <w:b/>
                <w:bCs/>
                <w:sz w:val="15"/>
                <w:szCs w:val="15"/>
              </w:rPr>
              <w:t xml:space="preserve">0,90</w:t>
            </w:r>
          </w:p>
        </w:tc>
        <w:tc>
          <w:tcPr>
            <w:tcW w:type="dxa" w:w="1400"/>
            <w:shd w:fill="E8E8E8" w:val="clear"/>
            <w:tcMar>
              <w:top w:type="dxa" w:w="50"/>
              <w:left w:type="dxa" w:w="80"/>
              <w:bottom w:type="dxa" w:w="50"/>
              <w:right w:type="dxa" w:w="80"/>
            </w:tcMar>
          </w:tcPr>
          <w:p>
            <w:pPr>
              <w:jc w:val="center"/>
            </w:pPr>
            <w:r>
              <w:rPr>
                <w:b/>
                <w:bCs/>
                <w:sz w:val="15"/>
                <w:szCs w:val="15"/>
              </w:rPr>
              <w:t xml:space="preserve">0,95</w:t>
            </w:r>
          </w:p>
        </w:tc>
      </w:tr>
      <w:tr>
        <w:tc>
          <w:tcPr>
            <w:tcW w:type="dxa" w:w="1300"/>
            <w:tcMar>
              <w:top w:type="dxa" w:w="50"/>
              <w:left w:type="dxa" w:w="80"/>
              <w:bottom w:type="dxa" w:w="50"/>
              <w:right w:type="dxa" w:w="80"/>
            </w:tcMar>
          </w:tcPr>
          <w:p>
            <w:pPr>
              <w:jc w:val="center"/>
            </w:pPr>
            <w:r>
              <w:rPr>
                <w:b w:val="false"/>
                <w:bCs w:val="false"/>
                <w:sz w:val="15"/>
                <w:szCs w:val="15"/>
              </w:rPr>
              <w:t xml:space="preserve">25</w:t>
            </w:r>
          </w:p>
        </w:tc>
        <w:tc>
          <w:tcPr>
            <w:tcW w:type="dxa" w:w="1400"/>
            <w:tcMar>
              <w:top w:type="dxa" w:w="50"/>
              <w:left w:type="dxa" w:w="80"/>
              <w:bottom w:type="dxa" w:w="50"/>
              <w:right w:type="dxa" w:w="80"/>
            </w:tcMar>
          </w:tcPr>
          <w:p>
            <w:pPr>
              <w:jc w:val="center"/>
            </w:pPr>
            <w:r>
              <w:rPr>
                <w:b w:val="false"/>
                <w:bCs w:val="false"/>
                <w:sz w:val="15"/>
                <w:szCs w:val="15"/>
              </w:rPr>
              <w:t xml:space="preserve">62,62 %</w:t>
            </w:r>
          </w:p>
        </w:tc>
        <w:tc>
          <w:tcPr>
            <w:tcW w:type="dxa" w:w="1400"/>
            <w:tcMar>
              <w:top w:type="dxa" w:w="50"/>
              <w:left w:type="dxa" w:w="80"/>
              <w:bottom w:type="dxa" w:w="50"/>
              <w:right w:type="dxa" w:w="80"/>
            </w:tcMar>
          </w:tcPr>
          <w:p>
            <w:pPr>
              <w:jc w:val="center"/>
            </w:pPr>
            <w:r>
              <w:rPr>
                <w:b w:val="false"/>
                <w:bCs w:val="false"/>
                <w:sz w:val="15"/>
                <w:szCs w:val="15"/>
              </w:rPr>
              <w:t xml:space="preserve">81,21 %</w:t>
            </w:r>
          </w:p>
        </w:tc>
        <w:tc>
          <w:tcPr>
            <w:tcW w:type="dxa" w:w="1400"/>
            <w:tcMar>
              <w:top w:type="dxa" w:w="50"/>
              <w:left w:type="dxa" w:w="80"/>
              <w:bottom w:type="dxa" w:w="50"/>
              <w:right w:type="dxa" w:w="80"/>
            </w:tcMar>
          </w:tcPr>
          <w:p>
            <w:pPr>
              <w:jc w:val="center"/>
            </w:pPr>
            <w:r>
              <w:rPr>
                <w:b w:val="false"/>
                <w:bCs w:val="false"/>
                <w:sz w:val="15"/>
                <w:szCs w:val="15"/>
              </w:rPr>
              <w:t xml:space="preserve">96,70 %</w:t>
            </w:r>
          </w:p>
        </w:tc>
        <w:tc>
          <w:tcPr>
            <w:tcW w:type="dxa" w:w="1400"/>
            <w:tcMar>
              <w:top w:type="dxa" w:w="50"/>
              <w:left w:type="dxa" w:w="80"/>
              <w:bottom w:type="dxa" w:w="50"/>
              <w:right w:type="dxa" w:w="80"/>
            </w:tcMar>
          </w:tcPr>
          <w:p>
            <w:pPr>
              <w:jc w:val="center"/>
            </w:pPr>
            <w:r>
              <w:rPr>
                <w:b w:val="false"/>
                <w:bCs w:val="false"/>
                <w:sz w:val="15"/>
                <w:szCs w:val="15"/>
              </w:rPr>
              <w:t xml:space="preserve">98,71 %</w:t>
            </w:r>
          </w:p>
        </w:tc>
        <w:tc>
          <w:tcPr>
            <w:tcW w:type="dxa" w:w="1400"/>
            <w:tcMar>
              <w:top w:type="dxa" w:w="50"/>
              <w:left w:type="dxa" w:w="80"/>
              <w:bottom w:type="dxa" w:w="50"/>
              <w:right w:type="dxa" w:w="80"/>
            </w:tcMar>
          </w:tcPr>
          <w:p>
            <w:pPr>
              <w:jc w:val="center"/>
            </w:pPr>
            <w:r>
              <w:rPr>
                <w:b w:val="false"/>
                <w:bCs w:val="false"/>
                <w:sz w:val="15"/>
                <w:szCs w:val="15"/>
              </w:rPr>
              <w:t xml:space="preserve">99,33 %</w:t>
            </w:r>
          </w:p>
        </w:tc>
      </w:tr>
      <w:tr>
        <w:tc>
          <w:tcPr>
            <w:tcW w:type="dxa" w:w="1300"/>
            <w:tcMar>
              <w:top w:type="dxa" w:w="50"/>
              <w:left w:type="dxa" w:w="80"/>
              <w:bottom w:type="dxa" w:w="50"/>
              <w:right w:type="dxa" w:w="80"/>
            </w:tcMar>
          </w:tcPr>
          <w:p>
            <w:pPr>
              <w:jc w:val="center"/>
            </w:pPr>
            <w:r>
              <w:rPr>
                <w:b w:val="false"/>
                <w:bCs w:val="false"/>
                <w:sz w:val="15"/>
                <w:szCs w:val="15"/>
              </w:rPr>
              <w:t xml:space="preserve">50</w:t>
            </w:r>
          </w:p>
        </w:tc>
        <w:tc>
          <w:tcPr>
            <w:tcW w:type="dxa" w:w="1400"/>
            <w:tcMar>
              <w:top w:type="dxa" w:w="50"/>
              <w:left w:type="dxa" w:w="80"/>
              <w:bottom w:type="dxa" w:w="50"/>
              <w:right w:type="dxa" w:w="80"/>
            </w:tcMar>
          </w:tcPr>
          <w:p>
            <w:pPr>
              <w:jc w:val="center"/>
            </w:pPr>
            <w:r>
              <w:rPr>
                <w:b w:val="false"/>
                <w:bCs w:val="false"/>
                <w:sz w:val="15"/>
                <w:szCs w:val="15"/>
              </w:rPr>
              <w:t xml:space="preserve">62,90 %</w:t>
            </w:r>
          </w:p>
        </w:tc>
        <w:tc>
          <w:tcPr>
            <w:tcW w:type="dxa" w:w="1400"/>
            <w:tcMar>
              <w:top w:type="dxa" w:w="50"/>
              <w:left w:type="dxa" w:w="80"/>
              <w:bottom w:type="dxa" w:w="50"/>
              <w:right w:type="dxa" w:w="80"/>
            </w:tcMar>
          </w:tcPr>
          <w:p>
            <w:pPr>
              <w:jc w:val="center"/>
            </w:pPr>
            <w:r>
              <w:rPr>
                <w:b w:val="false"/>
                <w:bCs w:val="false"/>
                <w:sz w:val="15"/>
                <w:szCs w:val="15"/>
              </w:rPr>
              <w:t xml:space="preserve">81,66 %</w:t>
            </w:r>
          </w:p>
        </w:tc>
        <w:tc>
          <w:tcPr>
            <w:tcW w:type="dxa" w:w="1400"/>
            <w:tcMar>
              <w:top w:type="dxa" w:w="50"/>
              <w:left w:type="dxa" w:w="80"/>
              <w:bottom w:type="dxa" w:w="50"/>
              <w:right w:type="dxa" w:w="80"/>
            </w:tcMar>
          </w:tcPr>
          <w:p>
            <w:pPr>
              <w:jc w:val="center"/>
            </w:pPr>
            <w:r>
              <w:rPr>
                <w:b w:val="false"/>
                <w:bCs w:val="false"/>
                <w:sz w:val="15"/>
                <w:szCs w:val="15"/>
              </w:rPr>
              <w:t xml:space="preserve">96,74 %</w:t>
            </w:r>
          </w:p>
        </w:tc>
        <w:tc>
          <w:tcPr>
            <w:tcW w:type="dxa" w:w="1400"/>
            <w:tcMar>
              <w:top w:type="dxa" w:w="50"/>
              <w:left w:type="dxa" w:w="80"/>
              <w:bottom w:type="dxa" w:w="50"/>
              <w:right w:type="dxa" w:w="80"/>
            </w:tcMar>
          </w:tcPr>
          <w:p>
            <w:pPr>
              <w:jc w:val="center"/>
            </w:pPr>
            <w:r>
              <w:rPr>
                <w:b w:val="false"/>
                <w:bCs w:val="false"/>
                <w:sz w:val="15"/>
                <w:szCs w:val="15"/>
              </w:rPr>
              <w:t xml:space="preserve">98,62 %</w:t>
            </w:r>
          </w:p>
        </w:tc>
        <w:tc>
          <w:tcPr>
            <w:tcW w:type="dxa" w:w="1400"/>
            <w:tcMar>
              <w:top w:type="dxa" w:w="50"/>
              <w:left w:type="dxa" w:w="80"/>
              <w:bottom w:type="dxa" w:w="50"/>
              <w:right w:type="dxa" w:w="80"/>
            </w:tcMar>
          </w:tcPr>
          <w:p>
            <w:pPr>
              <w:jc w:val="center"/>
            </w:pPr>
            <w:r>
              <w:rPr>
                <w:b w:val="false"/>
                <w:bCs w:val="false"/>
                <w:sz w:val="15"/>
                <w:szCs w:val="15"/>
              </w:rPr>
              <w:t xml:space="preserve">99,35 %</w:t>
            </w:r>
          </w:p>
        </w:tc>
      </w:tr>
    </w:tbl>
    <w:p>
      <w:pPr>
        <w:spacing w:after="160"/>
      </w:pPr>
    </w:p>
    <w:p>
      <w:pPr>
        <w:spacing w:after="120"/>
      </w:pPr>
      <w:r>
        <w:t xml:space="preserve">El control cumplió 2 de 5 niveles en ambos casos, con sobrecobertura masiva en los niveles bajos: 62,6 % donde debía dar 30 %. Y las coberturas entre M = 25 y M = 50 difieren en menos de medio punto porcentual en los cinco niveles, lo que confirma la invariancia a M que el diseño predecía y que era la razón de correrlo solo en los extremos.</w:t>
      </w:r>
    </w:p>
    <w:p>
      <w:pPr>
        <w:spacing w:after="120"/>
      </w:pPr>
      <w:r>
        <w:t xml:space="preserve">El control también sobreinfla las regiones: su cociente τ al 0,95 sobre τ al 0,90 alcanzó 1,69, frente al 1,01 del brazo principal. El contraste entre ambos es una evidencia adicional de que la agudeza del principal no es un artefacto del esquema conformal.</w:t>
      </w:r>
    </w:p>
    <w:p>
      <w:pPr>
        <w:pStyle w:val="Heading1"/>
        <w:spacing w:after="140" w:before="280"/>
      </w:pPr>
      <w:r>
        <w:t xml:space="preserve">8. Costo real de cómputo</w:t>
      </w:r>
    </w:p>
    <w:p>
      <w:pPr>
        <w:spacing w:after="120"/>
      </w:pPr>
      <w:r>
        <w:t xml:space="preserve">El experimento consumió 23,87 horas de cómputo efectivo, distribuidas en cinco pares (brazo, M) y ejecutadas en varias sesiones con reanudación desde checkpoints.</w:t>
      </w:r>
    </w:p>
    <w:p>
      <w:pPr>
        <w:spacing w:after="16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900"/>
        <w:gridCol w:w="1900"/>
      </w:tblGrid>
      <w:tr>
        <w:tc>
          <w:tcPr>
            <w:tcW w:type="dxa" w:w="1500"/>
            <w:shd w:fill="E8E8E8" w:val="clear"/>
            <w:tcMar>
              <w:top w:type="dxa" w:w="50"/>
              <w:left w:type="dxa" w:w="80"/>
              <w:bottom w:type="dxa" w:w="50"/>
              <w:right w:type="dxa" w:w="80"/>
            </w:tcMar>
          </w:tcPr>
          <w:p>
            <w:pPr>
              <w:jc w:val="center"/>
            </w:pPr>
            <w:r>
              <w:rPr>
                <w:b/>
                <w:bCs/>
                <w:sz w:val="17"/>
                <w:szCs w:val="17"/>
              </w:rPr>
              <w:t xml:space="preserve">M</w:t>
            </w:r>
          </w:p>
        </w:tc>
        <w:tc>
          <w:tcPr>
            <w:tcW w:type="dxa" w:w="1900"/>
            <w:shd w:fill="E8E8E8" w:val="clear"/>
            <w:tcMar>
              <w:top w:type="dxa" w:w="50"/>
              <w:left w:type="dxa" w:w="80"/>
              <w:bottom w:type="dxa" w:w="50"/>
              <w:right w:type="dxa" w:w="80"/>
            </w:tcMar>
          </w:tcPr>
          <w:p>
            <w:pPr>
              <w:jc w:val="center"/>
            </w:pPr>
            <w:r>
              <w:rPr>
                <w:b/>
                <w:bCs/>
                <w:sz w:val="17"/>
                <w:szCs w:val="17"/>
              </w:rPr>
              <w:t xml:space="preserve">Principal</w:t>
            </w:r>
          </w:p>
        </w:tc>
        <w:tc>
          <w:tcPr>
            <w:tcW w:type="dxa" w:w="1900"/>
            <w:shd w:fill="E8E8E8" w:val="clear"/>
            <w:tcMar>
              <w:top w:type="dxa" w:w="50"/>
              <w:left w:type="dxa" w:w="80"/>
              <w:bottom w:type="dxa" w:w="50"/>
              <w:right w:type="dxa" w:w="80"/>
            </w:tcMar>
          </w:tcPr>
          <w:p>
            <w:pPr>
              <w:jc w:val="center"/>
            </w:pPr>
            <w:r>
              <w:rPr>
                <w:b/>
                <w:bCs/>
                <w:sz w:val="17"/>
                <w:szCs w:val="17"/>
              </w:rPr>
              <w:t xml:space="preserve">Control</w:t>
            </w:r>
          </w:p>
        </w:tc>
        <w:tc>
          <w:tcPr>
            <w:tcW w:type="dxa" w:w="1900"/>
            <w:shd w:fill="E8E8E8" w:val="clear"/>
            <w:tcMar>
              <w:top w:type="dxa" w:w="50"/>
              <w:left w:type="dxa" w:w="80"/>
              <w:bottom w:type="dxa" w:w="50"/>
              <w:right w:type="dxa" w:w="80"/>
            </w:tcMar>
          </w:tcPr>
          <w:p>
            <w:pPr>
              <w:jc w:val="center"/>
            </w:pPr>
            <w:r>
              <w:rPr>
                <w:b/>
                <w:bCs/>
                <w:sz w:val="17"/>
                <w:szCs w:val="17"/>
              </w:rPr>
              <w:t xml:space="preserve">Total</w:t>
            </w:r>
          </w:p>
        </w:tc>
      </w:tr>
      <w:tr>
        <w:tc>
          <w:tcPr>
            <w:tcW w:type="dxa" w:w="1500"/>
            <w:tcMar>
              <w:top w:type="dxa" w:w="50"/>
              <w:left w:type="dxa" w:w="80"/>
              <w:bottom w:type="dxa" w:w="50"/>
              <w:right w:type="dxa" w:w="80"/>
            </w:tcMar>
          </w:tcPr>
          <w:p>
            <w:pPr>
              <w:jc w:val="center"/>
            </w:pPr>
            <w:r>
              <w:rPr>
                <w:b w:val="false"/>
                <w:bCs w:val="false"/>
                <w:sz w:val="17"/>
                <w:szCs w:val="17"/>
              </w:rPr>
              <w:t xml:space="preserve">25</w:t>
            </w:r>
          </w:p>
        </w:tc>
        <w:tc>
          <w:tcPr>
            <w:tcW w:type="dxa" w:w="1900"/>
            <w:tcMar>
              <w:top w:type="dxa" w:w="50"/>
              <w:left w:type="dxa" w:w="80"/>
              <w:bottom w:type="dxa" w:w="50"/>
              <w:right w:type="dxa" w:w="80"/>
            </w:tcMar>
          </w:tcPr>
          <w:p>
            <w:pPr>
              <w:jc w:val="center"/>
            </w:pPr>
            <w:r>
              <w:rPr>
                <w:b w:val="false"/>
                <w:bCs w:val="false"/>
                <w:sz w:val="17"/>
                <w:szCs w:val="17"/>
              </w:rPr>
              <w:t xml:space="preserve">4,47 h</w:t>
            </w:r>
          </w:p>
        </w:tc>
        <w:tc>
          <w:tcPr>
            <w:tcW w:type="dxa" w:w="1900"/>
            <w:tcMar>
              <w:top w:type="dxa" w:w="50"/>
              <w:left w:type="dxa" w:w="80"/>
              <w:bottom w:type="dxa" w:w="50"/>
              <w:right w:type="dxa" w:w="80"/>
            </w:tcMar>
          </w:tcPr>
          <w:p>
            <w:pPr>
              <w:jc w:val="center"/>
            </w:pPr>
            <w:r>
              <w:rPr>
                <w:b w:val="false"/>
                <w:bCs w:val="false"/>
                <w:sz w:val="17"/>
                <w:szCs w:val="17"/>
              </w:rPr>
              <w:t xml:space="preserve">4,29 h</w:t>
            </w:r>
          </w:p>
        </w:tc>
        <w:tc>
          <w:tcPr>
            <w:tcW w:type="dxa" w:w="1900"/>
            <w:tcMar>
              <w:top w:type="dxa" w:w="50"/>
              <w:left w:type="dxa" w:w="80"/>
              <w:bottom w:type="dxa" w:w="50"/>
              <w:right w:type="dxa" w:w="80"/>
            </w:tcMar>
          </w:tcPr>
          <w:p>
            <w:pPr>
              <w:jc w:val="center"/>
            </w:pPr>
            <w:r>
              <w:rPr>
                <w:b w:val="false"/>
                <w:bCs w:val="false"/>
                <w:sz w:val="17"/>
                <w:szCs w:val="17"/>
              </w:rPr>
              <w:t xml:space="preserve">8,76 h</w:t>
            </w:r>
          </w:p>
        </w:tc>
      </w:tr>
      <w:tr>
        <w:tc>
          <w:tcPr>
            <w:tcW w:type="dxa" w:w="1500"/>
            <w:tcMar>
              <w:top w:type="dxa" w:w="50"/>
              <w:left w:type="dxa" w:w="80"/>
              <w:bottom w:type="dxa" w:w="50"/>
              <w:right w:type="dxa" w:w="80"/>
            </w:tcMar>
          </w:tcPr>
          <w:p>
            <w:pPr>
              <w:jc w:val="center"/>
            </w:pPr>
            <w:r>
              <w:rPr>
                <w:b w:val="false"/>
                <w:bCs w:val="false"/>
                <w:sz w:val="17"/>
                <w:szCs w:val="17"/>
              </w:rPr>
              <w:t xml:space="preserve">40</w:t>
            </w:r>
          </w:p>
        </w:tc>
        <w:tc>
          <w:tcPr>
            <w:tcW w:type="dxa" w:w="1900"/>
            <w:tcMar>
              <w:top w:type="dxa" w:w="50"/>
              <w:left w:type="dxa" w:w="80"/>
              <w:bottom w:type="dxa" w:w="50"/>
              <w:right w:type="dxa" w:w="80"/>
            </w:tcMar>
          </w:tcPr>
          <w:p>
            <w:pPr>
              <w:jc w:val="center"/>
            </w:pPr>
            <w:r>
              <w:rPr>
                <w:b w:val="false"/>
                <w:bCs w:val="false"/>
                <w:sz w:val="17"/>
                <w:szCs w:val="17"/>
              </w:rPr>
              <w:t xml:space="preserve">3,78 h</w:t>
            </w:r>
          </w:p>
        </w:tc>
        <w:tc>
          <w:tcPr>
            <w:tcW w:type="dxa" w:w="1900"/>
            <w:tcMar>
              <w:top w:type="dxa" w:w="50"/>
              <w:left w:type="dxa" w:w="80"/>
              <w:bottom w:type="dxa" w:w="50"/>
              <w:right w:type="dxa" w:w="80"/>
            </w:tcMar>
          </w:tcPr>
          <w:p>
            <w:pPr>
              <w:jc w:val="center"/>
            </w:pPr>
            <w:r>
              <w:rPr>
                <w:b w:val="false"/>
                <w:bCs w:val="false"/>
                <w:sz w:val="17"/>
                <w:szCs w:val="17"/>
              </w:rPr>
              <w:t xml:space="preserve">—</w:t>
            </w:r>
          </w:p>
        </w:tc>
        <w:tc>
          <w:tcPr>
            <w:tcW w:type="dxa" w:w="1900"/>
            <w:tcMar>
              <w:top w:type="dxa" w:w="50"/>
              <w:left w:type="dxa" w:w="80"/>
              <w:bottom w:type="dxa" w:w="50"/>
              <w:right w:type="dxa" w:w="80"/>
            </w:tcMar>
          </w:tcPr>
          <w:p>
            <w:pPr>
              <w:jc w:val="center"/>
            </w:pPr>
            <w:r>
              <w:rPr>
                <w:b w:val="false"/>
                <w:bCs w:val="false"/>
                <w:sz w:val="17"/>
                <w:szCs w:val="17"/>
              </w:rPr>
              <w:t xml:space="preserve">3,78 h</w:t>
            </w:r>
          </w:p>
        </w:tc>
      </w:tr>
      <w:tr>
        <w:tc>
          <w:tcPr>
            <w:tcW w:type="dxa" w:w="1500"/>
            <w:tcMar>
              <w:top w:type="dxa" w:w="50"/>
              <w:left w:type="dxa" w:w="80"/>
              <w:bottom w:type="dxa" w:w="50"/>
              <w:right w:type="dxa" w:w="80"/>
            </w:tcMar>
          </w:tcPr>
          <w:p>
            <w:pPr>
              <w:jc w:val="center"/>
            </w:pPr>
            <w:r>
              <w:rPr>
                <w:b w:val="false"/>
                <w:bCs w:val="false"/>
                <w:sz w:val="17"/>
                <w:szCs w:val="17"/>
              </w:rPr>
              <w:t xml:space="preserve">50</w:t>
            </w:r>
          </w:p>
        </w:tc>
        <w:tc>
          <w:tcPr>
            <w:tcW w:type="dxa" w:w="1900"/>
            <w:tcMar>
              <w:top w:type="dxa" w:w="50"/>
              <w:left w:type="dxa" w:w="80"/>
              <w:bottom w:type="dxa" w:w="50"/>
              <w:right w:type="dxa" w:w="80"/>
            </w:tcMar>
          </w:tcPr>
          <w:p>
            <w:pPr>
              <w:jc w:val="center"/>
            </w:pPr>
            <w:r>
              <w:rPr>
                <w:b w:val="false"/>
                <w:bCs w:val="false"/>
                <w:sz w:val="17"/>
                <w:szCs w:val="17"/>
              </w:rPr>
              <w:t xml:space="preserve">5,25 h</w:t>
            </w:r>
          </w:p>
        </w:tc>
        <w:tc>
          <w:tcPr>
            <w:tcW w:type="dxa" w:w="1900"/>
            <w:tcMar>
              <w:top w:type="dxa" w:w="50"/>
              <w:left w:type="dxa" w:w="80"/>
              <w:bottom w:type="dxa" w:w="50"/>
              <w:right w:type="dxa" w:w="80"/>
            </w:tcMar>
          </w:tcPr>
          <w:p>
            <w:pPr>
              <w:jc w:val="center"/>
            </w:pPr>
            <w:r>
              <w:rPr>
                <w:b w:val="false"/>
                <w:bCs w:val="false"/>
                <w:sz w:val="17"/>
                <w:szCs w:val="17"/>
              </w:rPr>
              <w:t xml:space="preserve">6,08 h</w:t>
            </w:r>
          </w:p>
        </w:tc>
        <w:tc>
          <w:tcPr>
            <w:tcW w:type="dxa" w:w="1900"/>
            <w:tcMar>
              <w:top w:type="dxa" w:w="50"/>
              <w:left w:type="dxa" w:w="80"/>
              <w:bottom w:type="dxa" w:w="50"/>
              <w:right w:type="dxa" w:w="80"/>
            </w:tcMar>
          </w:tcPr>
          <w:p>
            <w:pPr>
              <w:jc w:val="center"/>
            </w:pPr>
            <w:r>
              <w:rPr>
                <w:b w:val="false"/>
                <w:bCs w:val="false"/>
                <w:sz w:val="17"/>
                <w:szCs w:val="17"/>
              </w:rPr>
              <w:t xml:space="preserve">11,33 h</w:t>
            </w:r>
          </w:p>
        </w:tc>
      </w:tr>
      <w:tr>
        <w:tc>
          <w:tcPr>
            <w:tcW w:type="dxa" w:w="1500"/>
            <w:tcMar>
              <w:top w:type="dxa" w:w="50"/>
              <w:left w:type="dxa" w:w="80"/>
              <w:bottom w:type="dxa" w:w="50"/>
              <w:right w:type="dxa" w:w="80"/>
            </w:tcMar>
          </w:tcPr>
          <w:p>
            <w:pPr>
              <w:jc w:val="center"/>
            </w:pPr>
            <w:r>
              <w:rPr>
                <w:b w:val="false"/>
                <w:bCs w:val="false"/>
                <w:sz w:val="17"/>
                <w:szCs w:val="17"/>
              </w:rPr>
              <w:t xml:space="preserve">Total</w:t>
            </w:r>
          </w:p>
        </w:tc>
        <w:tc>
          <w:tcPr>
            <w:tcW w:type="dxa" w:w="1900"/>
            <w:tcMar>
              <w:top w:type="dxa" w:w="50"/>
              <w:left w:type="dxa" w:w="80"/>
              <w:bottom w:type="dxa" w:w="50"/>
              <w:right w:type="dxa" w:w="80"/>
            </w:tcMar>
          </w:tcPr>
          <w:p>
            <w:pPr>
              <w:jc w:val="center"/>
            </w:pPr>
            <w:r>
              <w:rPr>
                <w:b w:val="false"/>
                <w:bCs w:val="false"/>
                <w:sz w:val="17"/>
                <w:szCs w:val="17"/>
              </w:rPr>
              <w:t xml:space="preserve">13,50 h</w:t>
            </w:r>
          </w:p>
        </w:tc>
        <w:tc>
          <w:tcPr>
            <w:tcW w:type="dxa" w:w="1900"/>
            <w:tcMar>
              <w:top w:type="dxa" w:w="50"/>
              <w:left w:type="dxa" w:w="80"/>
              <w:bottom w:type="dxa" w:w="50"/>
              <w:right w:type="dxa" w:w="80"/>
            </w:tcMar>
          </w:tcPr>
          <w:p>
            <w:pPr>
              <w:jc w:val="center"/>
            </w:pPr>
            <w:r>
              <w:rPr>
                <w:b w:val="false"/>
                <w:bCs w:val="false"/>
                <w:sz w:val="17"/>
                <w:szCs w:val="17"/>
              </w:rPr>
              <w:t xml:space="preserve">10,37 h</w:t>
            </w:r>
          </w:p>
        </w:tc>
        <w:tc>
          <w:tcPr>
            <w:tcW w:type="dxa" w:w="1900"/>
            <w:tcMar>
              <w:top w:type="dxa" w:w="50"/>
              <w:left w:type="dxa" w:w="80"/>
              <w:bottom w:type="dxa" w:w="50"/>
              <w:right w:type="dxa" w:w="80"/>
            </w:tcMar>
          </w:tcPr>
          <w:p>
            <w:pPr>
              <w:jc w:val="center"/>
            </w:pPr>
            <w:r>
              <w:rPr>
                <w:b w:val="false"/>
                <w:bCs w:val="false"/>
                <w:sz w:val="17"/>
                <w:szCs w:val="17"/>
              </w:rPr>
              <w:t xml:space="preserve">23,87 h</w:t>
            </w:r>
          </w:p>
        </w:tc>
      </w:tr>
    </w:tbl>
    <w:p>
      <w:pPr>
        <w:spacing w:after="160"/>
      </w:pPr>
    </w:p>
    <w:p>
      <w:pPr>
        <w:spacing w:after="120"/>
      </w:pPr>
      <w:r>
        <w:rPr>
          <w:b/>
          <w:bCs/>
        </w:rPr>
        <w:t xml:space="preserve">El presupuesto prerregistrado acertó. </w:t>
      </w:r>
      <w:r>
        <w:t xml:space="preserve">La § 6 del Borrador 8 estimó 19,2 horas con un rango declarado de 14 a 24, calculado escalando el tiempo medido del stage 1 de v7.7-a por el factor (N + M)/75. El costo real quedó dentro de ese rango, cerca de su límite superior. La comparación relevante es con v7.7-a, donde la estimación de ~21 horas se enfrentó a ~53 horas reales: la diferencia es que aquella extrapolaba sobre N variable, mientras que esta se ancló en tiempo efectivamente medido con N fijo.</w:t>
      </w:r>
    </w:p>
    <w:p>
      <w:pPr>
        <w:spacing w:after="120"/>
      </w:pPr>
      <w:r>
        <w:t xml:space="preserve">La concentración del costo se repitió con la misma estructura que en v7.7-a. La familia encuentro_violento del subconjunto OOD lejano consumió 20,25 horas, el 84,8 % del total del experimento. La configuración más costosa, OOD_FAR_encuentro_violento_01 en M = 50 brazo principal, tardó 153,6 minutos por sí sola; las cuatro más caras superan las 110 minutos cada una. El resto del dataset se resuelve en segundos por configuración.</w:t>
      </w:r>
    </w:p>
    <w:p>
      <w:pPr>
        <w:spacing w:after="120"/>
      </w:pPr>
      <w:r>
        <w:t xml:space="preserve">Esa concentración tiene una consecuencia operativa que conviene registrar: en un dataset donde tres o cuatro configuraciones concentran el 85 % del tiempo, el mecanismo de checkpoints no es una comodidad sino la condición que hace ejecutable el experimento. Durante esta corrida hubo múltiples desconexiones de la plataforma, incluido un corte de energía, y ninguna implicó recomputar más que la configuración en curso.</w:t>
      </w:r>
    </w:p>
    <w:p>
      <w:pPr>
        <w:pStyle w:val="Heading1"/>
        <w:spacing w:after="140" w:before="280"/>
      </w:pPr>
      <w:r>
        <w:t xml:space="preserve">9. Límites y lo que este resultado no afirma</w:t>
      </w:r>
    </w:p>
    <w:p>
      <w:pPr>
        <w:pStyle w:val="ListParagraph"/>
        <w:numPr>
          <w:ilvl w:val="0"/>
          <w:numId w:val="1"/>
        </w:numPr>
        <w:spacing w:after="120"/>
      </w:pPr>
      <w:r>
        <w:t xml:space="preserve">Mismo histórico. El experimento reutiliza el dataset y las semillas de v7.7-a. Es un experimento de sensibilidad prerregistrado, no una validación independiente sobre datos nuevos, y así consta en el propio artefacto de veredicto.</w:t>
      </w:r>
    </w:p>
    <w:p>
      <w:pPr>
        <w:pStyle w:val="ListParagraph"/>
        <w:numPr>
          <w:ilvl w:val="0"/>
          <w:numId w:val="1"/>
        </w:numPr>
        <w:spacing w:after="120"/>
      </w:pPr>
      <w:r>
        <w:t xml:space="preserve">La banda de C11.b resultó poco exigente. Los ±2 pp equivalen a unas 3,7 veces el error estándar del agregado, de modo que el criterio solo habría disparado ante un error grosero. El reporte en unidades de sigma se incorporó precisamente para que un cumplimiento holgado y uno al límite no se leyeran igual; los observados van de −1,01σ a +1,18σ, es decir, ninguno cerca del borde. La conclusión que la evidencia sostiene es que las coberturas caen donde la aritmética conformal predice, no que el criterio haya sido puesto a prueba.</w:t>
      </w:r>
    </w:p>
    <w:p>
      <w:pPr>
        <w:pStyle w:val="ListParagraph"/>
        <w:numPr>
          <w:ilvl w:val="0"/>
          <w:numId w:val="1"/>
        </w:numPr>
        <w:spacing w:after="120"/>
      </w:pPr>
      <w:r>
        <w:t xml:space="preserve">La mitad vinculante de C11.f(i) sigue sin morder. La fracción de celdas con proxy bajo el umbral dio 1,000, 0,998 y 1,000, en línea con el 100 % que arrojó en v7.6-b, v7.6-c y v7.7-a. Ese criterio, por sí solo, no puede sostener un veredicto favorable, y por eso el ciclo incorporó C11.f(ii).</w:t>
      </w:r>
    </w:p>
    <w:p>
      <w:pPr>
        <w:pStyle w:val="ListParagraph"/>
        <w:numPr>
          <w:ilvl w:val="0"/>
          <w:numId w:val="1"/>
        </w:numPr>
        <w:spacing w:after="120"/>
      </w:pPr>
      <w:r>
        <w:t xml:space="preserve">La separación de umbrales en M = 40 y M = 50 es aritmética por construcción. El contenido empírico del experimento no está en que los niveles se separen, sino en dónde caen las coberturas realizadas respecto de sus valores esperados y en si la agudeza se sostiene.</w:t>
      </w:r>
    </w:p>
    <w:p>
      <w:pPr>
        <w:pStyle w:val="ListParagraph"/>
        <w:numPr>
          <w:ilvl w:val="0"/>
          <w:numId w:val="1"/>
        </w:numPr>
        <w:spacing w:after="120"/>
      </w:pPr>
      <w:r>
        <w:t xml:space="preserve">No se afirma nada sobre el horizonte temporal. Este experimento caracteriza la sensibilidad al conjunto de calibración con la profundidad temporal heredada; la caracterización del horizonte útil es el objeto de v7.7-c y permanece abierta.</w:t>
      </w:r>
    </w:p>
    <w:p>
      <w:pPr>
        <w:pStyle w:val="Heading1"/>
        <w:spacing w:after="140" w:before="280"/>
      </w:pPr>
      <w:r>
        <w:t xml:space="preserve">10. Traspaso a v7.7-c</w:t>
      </w:r>
    </w:p>
    <w:p>
      <w:pPr>
        <w:spacing w:after="120"/>
      </w:pPr>
      <w:r>
        <w:t xml:space="preserve">Conforme a la regla de consecuencia prerregistrada en la § 4 del Borrador 8, el escenario S11.1 determina que v7.7-c herede M = 40.</w:t>
      </w:r>
    </w:p>
    <w:p>
      <w:pPr>
        <w:spacing w:after="120"/>
      </w:pPr>
      <w:r>
        <w:t xml:space="preserve">La fundamentación quedó declarada antes de ver los datos y se sostiene: M = 40 alcanza el nivel nominal 0,95 con el menor desvío esperado, 0,24 pp frente al sobrepaso de 1,15 pp de M = 50, y con menor costo adicional. Se registró explícitamente, y se reitera aquí, que M = 50 presenta menor desvío estructural agregado sobre los cinco niveles —5,00 pp frente a 7,38— y gana en los tres niveles bajos. La elección de M = 40 es por tanto una priorización declarada del nivel alto y del costo, no una dominancia sobre toda la grilla.</w:t>
      </w:r>
    </w:p>
    <w:p>
      <w:pPr>
        <w:spacing w:after="120"/>
      </w:pPr>
      <w:r>
        <w:t xml:space="preserve">Los datos observados refuerzan esa lectura: en M = 40 la cobertura del nivel 0,95 cayó a 95,20 %, a cuatro centésimas de punto de su esperado y a dos décimas del nominal, mientras que en M = 50 quedó en 96,32 %, con el sobrepaso estructural previsto.</w:t>
      </w:r>
    </w:p>
    <w:p>
      <w:pPr>
        <w:spacing w:after="120"/>
      </w:pPr>
      <w:r>
        <w:t xml:space="preserve">Elementos que v7.7-c hereda con base empírica nueva: el umbral de agudeza puede calibrarse directamente sobre los cocientes medidos aquí en lugar de extrapolarse; el modelo de costo (N + M)/75 quedó validado dentro de su rango declarado y puede reutilizarse para presupuestar; y la concentración del 85 % del tiempo en la familia encuentro_violento debe considerarse al diseñar cualquier barrido que la incluya.</w:t>
      </w:r>
    </w:p>
    <w:p>
      <w:pPr>
        <w:pStyle w:val="Heading1"/>
        <w:spacing w:after="140" w:before="280"/>
      </w:pPr>
      <w:r>
        <w:t xml:space="preserve">Anexo — Paquete de evidencia</w:t>
      </w:r>
    </w:p>
    <w:p>
      <w:pPr>
        <w:spacing w:after="120"/>
      </w:pPr>
      <w:r>
        <w:t xml:space="preserve">Artefactos producidos por la corrida, en MyDrive/mtps_c/:</w:t>
      </w:r>
    </w:p>
    <w:p>
      <w:pPr>
        <w:pStyle w:val="ListParagraph"/>
        <w:numPr>
          <w:ilvl w:val="0"/>
          <w:numId w:val="1"/>
        </w:numPr>
        <w:spacing w:after="120"/>
      </w:pPr>
      <w:r>
        <w:t xml:space="preserve">partial_b_m25.pkl, partial_b_m40.pkl, partial_b_m50.pkl — resultados por stage, cada uno con su bloque de procedencia conforme a la condición C9.</w:t>
      </w:r>
    </w:p>
    <w:p>
      <w:pPr>
        <w:pStyle w:val="ListParagraph"/>
        <w:numPr>
          <w:ilvl w:val="0"/>
          <w:numId w:val="1"/>
        </w:numPr>
        <w:spacing w:after="120"/>
      </w:pPr>
      <w:r>
        <w:t xml:space="preserve">mtps_c_v7_7b_metrics.txt — reporte consolidado.</w:t>
      </w:r>
    </w:p>
    <w:p>
      <w:pPr>
        <w:pStyle w:val="ListParagraph"/>
        <w:numPr>
          <w:ilvl w:val="0"/>
          <w:numId w:val="1"/>
        </w:numPr>
        <w:spacing w:after="120"/>
      </w:pPr>
      <w:r>
        <w:t xml:space="preserve">mtps_c_v7_7b_table_long.csv (51.000 filas) y mtps_c_v7_7b_table_cells.csv (3.000 filas) — datos por celda y por split.</w:t>
      </w:r>
    </w:p>
    <w:p>
      <w:pPr>
        <w:pStyle w:val="ListParagraph"/>
        <w:numPr>
          <w:ilvl w:val="0"/>
          <w:numId w:val="1"/>
        </w:numPr>
        <w:spacing w:after="120"/>
      </w:pPr>
      <w:r>
        <w:t xml:space="preserve">mtps_c_v7_7b_trend.csv y mtps_c_v7_7b_proxy_tau.csv — tendencia por nivel y por M, distribución del proxy y escalera de τ, exigidas por C11.f(iii).</w:t>
      </w:r>
    </w:p>
    <w:p>
      <w:pPr>
        <w:pStyle w:val="ListParagraph"/>
        <w:numPr>
          <w:ilvl w:val="0"/>
          <w:numId w:val="1"/>
        </w:numPr>
        <w:spacing w:after="120"/>
      </w:pPr>
      <w:r>
        <w:t xml:space="preserve">veredicto_prerregistrado_v7_7b.json — veredicto mecánico con el estado de las puertas y de los criterios por M.</w:t>
      </w:r>
    </w:p>
    <w:p>
      <w:pPr>
        <w:pStyle w:val="ListParagraph"/>
        <w:numPr>
          <w:ilvl w:val="0"/>
          <w:numId w:val="1"/>
        </w:numPr>
        <w:spacing w:after="120"/>
      </w:pPr>
      <w:r>
        <w:t xml:space="preserve">tiempos_por_config_v7_7b.csv (300 filas) — costo por configuración, brazo y M.</w:t>
      </w:r>
    </w:p>
    <w:p>
      <w:pPr>
        <w:spacing w:after="160"/>
      </w:pPr>
    </w:p>
    <w:p>
      <w:pPr>
        <w:spacing w:after="120"/>
      </w:pPr>
      <w:r>
        <w:t xml:space="preserve">Entorno de ejecución registrado en la procedencia de los tres stages: Python 3.13.15, numpy 2.1.3, Linux 6.6.122 x86-64 con glibc 2.39. Hash canónico del dataset verificado en los tres: b2b0937a069d0170d9379ae08919067b9fff3e5ffc967a9f580425a80efedf47. Módulo común empleado: 9485b073ed7281f02f4662c686b62426db4cc60fdd4842b198a671dff610bc30.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Resultados MTPS-C v7.7-b</dc:title>
  <dc:creator>Programa MTPS-C</dc:creator>
  <cp:lastModifiedBy>Un-named</cp:lastModifiedBy>
  <cp:revision>1</cp:revision>
  <dcterms:created xsi:type="dcterms:W3CDTF">2026-09-13T14:07:00.286Z</dcterms:created>
  <dcterms:modified xsi:type="dcterms:W3CDTF">2026-09-13T14:07:00.296Z</dcterms:modified>
</cp:coreProperties>
</file>

<file path=docProps/custom.xml><?xml version="1.0" encoding="utf-8"?>
<Properties xmlns="http://schemas.openxmlformats.org/officeDocument/2006/custom-properties" xmlns:vt="http://schemas.openxmlformats.org/officeDocument/2006/docPropsVTypes"/>
</file>