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Informe de Resultados — MTPS-C v7.7-c</w:t>
      </w:r>
    </w:p>
    <w:p>
      <w:pPr>
        <w:spacing w:after="80"/>
        <w:jc w:val="center"/>
      </w:pPr>
      <w:r>
        <w:rPr>
          <w:i/>
          <w:iCs/>
          <w:sz w:val="23"/>
          <w:szCs w:val="23"/>
        </w:rPr>
        <w:t xml:space="preserve">Horizonte Útil — Profundidad Temporal</w:t>
      </w:r>
    </w:p>
    <w:p>
      <w:pPr>
        <w:spacing w:after="160"/>
        <w:jc w:val="center"/>
      </w:pPr>
      <w:r>
        <w:rPr>
          <w:sz w:val="20"/>
          <w:szCs w:val="20"/>
        </w:rPr>
        <w:t xml:space="preserve">Motor de Trayectorias Probabilísticas para Sistemas Caóticos</w:t>
      </w:r>
    </w:p>
    <w:p>
      <w:pPr>
        <w:spacing w:after="160"/>
        <w:jc w:val="center"/>
      </w:pPr>
      <w:r>
        <w:rPr>
          <w:b/>
          <w:bCs/>
          <w:sz w:val="21"/>
          <w:szCs w:val="21"/>
        </w:rPr>
        <w:t xml:space="preserve">VEREDICTO MECÁNICO: S12.1 — FRONTERA CARACTERIZADA</w:t>
      </w:r>
    </w:p>
    <w:p>
      <w:pPr>
        <w:spacing w:after="60"/>
        <w:jc w:val="center"/>
      </w:pPr>
      <w:r>
        <w:rPr>
          <w:b/>
          <w:bCs/>
          <w:sz w:val="21"/>
          <w:szCs w:val="21"/>
        </w:rPr>
        <w:t xml:space="preserve">Joaquín Peñafiel</w:t>
      </w:r>
    </w:p>
    <w:p>
      <w:pPr>
        <w:spacing w:after="60"/>
        <w:jc w:val="center"/>
      </w:pPr>
      <w:r>
        <w:rPr>
          <w:sz w:val="20"/>
          <w:szCs w:val="20"/>
        </w:rPr>
        <w:t xml:space="preserve">Chile · 22 de septiembre de 2026</w:t>
      </w:r>
    </w:p>
    <w:p>
      <w:pPr>
        <w:spacing w:after="200"/>
        <w:jc w:val="center"/>
      </w:pPr>
      <w:r>
        <w:rPr>
          <w:i/>
          <w:iCs/>
          <w:sz w:val="19"/>
          <w:szCs w:val="19"/>
        </w:rPr>
        <w:t xml:space="preserve">Dependencias: Hoja de Ruta v7.7-c Borrador 5 · Acta 02 + Enmiendas 02 y 03 · Anexo C7-c (reemisión 3) · Informe y Acta de Cierre de v7.7-b · NT-01 rev. 4 · LIT-00 v1.0</w:t>
      </w:r>
    </w:p>
    <w:p>
      <w:pPr>
        <w:pBdr>
          <w:bottom w:val="single" w:color="AAAAAA" w:sz="6"/>
        </w:pBdr>
        <w:spacing w:after="160"/>
      </w:pPr>
    </w:p>
    <w:p>
      <w:pPr>
        <w:pStyle w:val="Heading1"/>
        <w:spacing w:after="140" w:before="280"/>
      </w:pPr>
      <w:r>
        <w:t xml:space="preserve">1. Resumen ejecutivo</w:t>
      </w:r>
    </w:p>
    <w:p>
      <w:pPr>
        <w:spacing w:after="120"/>
      </w:pPr>
      <w:r>
        <w:t xml:space="preserve">El experimento de horizonte cerró en el escenario S12.1, que el prerregistro define como el resultado favorable de esta etapa: la frontera del dominio operativo quedó medida dentro del rango explorado. Las cuatro puertas de verificación pasaron y el veredicto fue emitido por la función de clasificación mecánica del consolidador.</w:t>
      </w:r>
    </w:p>
    <w:p>
      <w:pPr>
        <w:spacing w:after="120"/>
      </w:pPr>
      <w:r>
        <w:t xml:space="preserve">El instrumento sostiene su régimen de compresibilidad bidimensional hasta aproximadamente veinticinco veces el espaciado de referencia entre snapshots, y lo pierde de forma sostenida a partir de treinta. El horizonte útil queda por tanto acotado empíricamente en su eje temporal.</w:t>
      </w:r>
    </w:p>
    <w:p>
      <w:pPr>
        <w:spacing w:after="120"/>
      </w:pPr>
      <w:r>
        <w:t xml:space="preserve">Los cuatro resultados de fondo, en orden de importancia:</w:t>
      </w:r>
    </w:p>
    <w:p>
      <w:pPr>
        <w:pStyle w:val="ListParagraph"/>
        <w:numPr>
          <w:ilvl w:val="0"/>
          <w:numId w:val="1"/>
        </w:numPr>
        <w:spacing w:after="120"/>
      </w:pPr>
      <w:r>
        <w:t xml:space="preserve">La frontera existe y es estructural, no de calibración. La varianza explicada por una base fija de dos componentes cruza el umbral de 0,95 por primera vez en el snapshot 26 y lo incumple sin retorno desde el 30.</w:t>
      </w:r>
    </w:p>
    <w:p>
      <w:pPr>
        <w:pStyle w:val="ListParagraph"/>
        <w:numPr>
          <w:ilvl w:val="0"/>
          <w:numId w:val="1"/>
        </w:numPr>
        <w:spacing w:after="120"/>
      </w:pPr>
      <w:r>
        <w:t xml:space="preserve">La calibración no se degrada en ningún momento. Los cinco niveles de la grilla se mantienen dentro de tolerancia en los cuatro bloques de diez snapshots, incluido el último. A cuarenta snapshots las regiones siguen siendo válidas; lo que se pierde es el régimen geométrico que las hace informativas.</w:t>
      </w:r>
    </w:p>
    <w:p>
      <w:pPr>
        <w:pStyle w:val="ListParagraph"/>
        <w:numPr>
          <w:ilvl w:val="0"/>
          <w:numId w:val="1"/>
        </w:numPr>
        <w:spacing w:after="120"/>
      </w:pPr>
      <w:r>
        <w:t xml:space="preserve">La región crece 567 veces en términos absolutos pero solo 1,9 veces en relación con la dispersión del ensemble. El instrumento sigue el desplegamiento del sistema con notable fidelidad relativa.</w:t>
      </w:r>
    </w:p>
    <w:p>
      <w:pPr>
        <w:pStyle w:val="ListParagraph"/>
        <w:numPr>
          <w:ilvl w:val="0"/>
          <w:numId w:val="1"/>
        </w:numPr>
        <w:spacing w:after="120"/>
      </w:pPr>
      <w:r>
        <w:t xml:space="preserve">La predicción prerregistrada falló en su punto más lejano, y falló por exceso: la dimensión efectiva creció bastante menos de lo extrapolado.</w:t>
      </w:r>
    </w:p>
    <w:p>
      <w:pPr>
        <w:pStyle w:val="Heading1"/>
        <w:spacing w:after="140" w:before="280"/>
      </w:pPr>
      <w:r>
        <w:t xml:space="preserve">2. Diseño y cadena documental</w:t>
      </w:r>
    </w:p>
    <w:p>
      <w:pPr>
        <w:spacing w:after="120"/>
      </w:pPr>
      <w:r>
        <w:t xml:space="preserve">Variable operativa: el factor de horizonte H = 4, con punto de control intermedio en H = 2, manteniendo constante el espaciado entre snapshots. M = 40 heredado de v7.7-b por la regla de consecuencia, N = 50 fijo, método congelado. Sin brazo de control, con el límite de atribución declarado en el prerregistro.</w:t>
      </w:r>
    </w:p>
    <w:p>
      <w:pPr>
        <w:spacing w:after="120"/>
      </w:pPr>
      <w:r>
        <w:t xml:space="preserve">El prerregistro atravesó cuatro rondas de auditoría antes de congelarse en el Borrador 5. Durante la ejecución se emitieron dos enmiendas, ambas registradas en la § 3 y en la § 9 de este informe, y el anexo de autorización se reemitió tres veces. Nada de eso se corrigió en sitio: cada versión conserva su hash y su motivo.</w:t>
      </w:r>
    </w:p>
    <w:p>
      <w:pPr>
        <w:pStyle w:val="Heading1"/>
        <w:spacing w:after="140" w:before="280"/>
      </w:pPr>
      <w:r>
        <w:t xml:space="preserve">3. Puertas de verificación y el aborto de G14</w:t>
      </w:r>
    </w:p>
    <w:p>
      <w:pPr>
        <w:spacing w:after="120"/>
      </w:pPr>
      <w:r>
        <w:t xml:space="preserve">Las cuatro puertas pasaron en el orden establecido por la condición C8. Dos hechos merecen registro por encima de ese resultado.</w:t>
      </w:r>
    </w:p>
    <w:p>
      <w:pPr>
        <w:spacing w:after="120"/>
      </w:pPr>
      <w:r>
        <w:rPr>
          <w:b/>
          <w:bCs/>
        </w:rPr>
        <w:t xml:space="preserve">G14 abortó la corrida, y esa es la constancia más valiosa del ciclo. </w:t>
      </w:r>
      <w:r>
        <w:t xml:space="preserve">Al comparar el brazo H = 2 contra el stage M = 40 de v7.7-b, la puerta detectó 152 celdas de 13.500 con diferencia superior a la tolerancia heredada de 1e-12, con un máximo de 5,368e-11. La investigación que ordena el escenario S12.3 estableció tres hechos: la cobertura empírica se reproduce de forma exacta, con diferencia cero sobre las 13.500 celdas; solo difiere el radio conformal; y las diferencias mayores aparecen allí donde el radio es mayor, que es el comportamiento de un error relativo y no de uno absoluto. La celda responsable del máximo tiene un radio de 22,09 frente a una mediana del orden de 0,006.</w:t>
      </w:r>
    </w:p>
    <w:p>
      <w:pPr>
        <w:spacing w:after="120"/>
      </w:pPr>
      <w:r>
        <w:t xml:space="preserve">La tolerancia heredada no era la apropiada para esta comparación: en v7.7-b se comparaban dos integraciones del mismo intervalo, donde la igualdad bit a bit es exigible y en efecto se obtuvo; aquí se comparan intervalos distintos, y exigir 1e-12 absoluto a una magnitud continua producida con rtol = 1e-8 es exigir cuatro órdenes más de precisión de la que el método garantiza. La Enmienda 02 separó ambas magnitudes: la cobertura conserva la tolerancia estricta y el radio pasa a una tolerancia relativa derivada del integrador, no del resultado observado. Con esa formulación, la puerta pasó con el radio en 0,00 veces su tolerancia y la cobertura exacta.</w:t>
      </w:r>
    </w:p>
    <w:p>
      <w:pPr>
        <w:spacing w:after="120"/>
      </w:pPr>
      <w:r>
        <w:rPr>
          <w:b/>
          <w:bCs/>
        </w:rPr>
        <w:t xml:space="preserve">Constancia sobre el orden de las cosas. </w:t>
      </w:r>
      <w:r>
        <w:t xml:space="preserve">Antes de aplicar la enmienda se estimó que la tolerancia derivada podría resultar insuficiente y se declaró que, en tal caso, no se aflojaría por segunda vez. La estimación resultó equivocada y quedó registrada en la propia enmienda: es lo que acredita que el umbral no se eligió para pasar.</w:t>
      </w:r>
    </w:p>
    <w:p>
      <w:pPr>
        <w:spacing w:after="120"/>
      </w:pPr>
      <w:r>
        <w:rPr>
          <w:b/>
          <w:bCs/>
        </w:rPr>
        <w:t xml:space="preserve">G17 verificó la independencia de camino del integrador. </w:t>
      </w:r>
      <w:r>
        <w:t xml:space="preserve">Los snapshots 1 a 19 del brazo H = 2 coinciden con los de H = 4 dentro de tolerancia. Sin esa propiedad, comparar horizontes distintos carecería de base. Los snapshots terminales de cada brazo quedaron excluidos del aborto por declaración previa, y el dato confirma que la exclusión era necesaria y no una concesión: en el snapshot frontera la diferencia alcanza 321 veces su tolerancia.</w:t>
      </w:r>
    </w:p>
    <w:p>
      <w:pPr>
        <w:pStyle w:val="Heading1"/>
        <w:spacing w:after="140" w:before="280"/>
      </w:pPr>
      <w:r>
        <w:t xml:space="preserve">4. La frontera estructural</w:t>
      </w:r>
    </w:p>
    <w:p>
      <w:pPr>
        <w:spacing w:after="120"/>
      </w:pPr>
      <w:r>
        <w:t xml:space="preserve">El criterio primario mide la fracción de varianza del ensemble retenida por las dos primeras componentes principales, con base fija y no adaptativa, contra el umbral de 0,95 que el método congelado fija desde v7.5-b.</w:t>
      </w:r>
    </w:p>
    <w:p>
      <w:pPr>
        <w:spacing w:after="16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700"/>
        <w:gridCol w:w="1700"/>
        <w:gridCol w:w="1700"/>
      </w:tblGrid>
      <w:tr>
        <w:tc>
          <w:tcPr>
            <w:tcW w:type="dxa" w:w="1200"/>
            <w:shd w:fill="E8E8E8" w:val="clear"/>
            <w:tcMar>
              <w:top w:type="dxa" w:w="48"/>
              <w:left w:type="dxa" w:w="80"/>
              <w:bottom w:type="dxa" w:w="48"/>
              <w:right w:type="dxa" w:w="80"/>
            </w:tcMar>
          </w:tcPr>
          <w:p>
            <w:pPr>
              <w:jc w:val="center"/>
            </w:pPr>
            <w:r>
              <w:rPr>
                <w:b/>
                <w:bCs/>
                <w:sz w:val="15"/>
                <w:szCs w:val="15"/>
              </w:rPr>
              <w:t xml:space="preserve">Snapshot</w:t>
            </w:r>
          </w:p>
        </w:tc>
        <w:tc>
          <w:tcPr>
            <w:tcW w:type="dxa" w:w="1700"/>
            <w:shd w:fill="E8E8E8" w:val="clear"/>
            <w:tcMar>
              <w:top w:type="dxa" w:w="48"/>
              <w:left w:type="dxa" w:w="80"/>
              <w:bottom w:type="dxa" w:w="48"/>
              <w:right w:type="dxa" w:w="80"/>
            </w:tcMar>
          </w:tcPr>
          <w:p>
            <w:pPr>
              <w:jc w:val="center"/>
            </w:pPr>
            <w:r>
              <w:rPr>
                <w:b/>
                <w:bCs/>
                <w:sz w:val="15"/>
                <w:szCs w:val="15"/>
              </w:rPr>
              <w:t xml:space="preserve">VE base fija</w:t>
            </w:r>
          </w:p>
        </w:tc>
        <w:tc>
          <w:tcPr>
            <w:tcW w:type="dxa" w:w="1700"/>
            <w:shd w:fill="E8E8E8" w:val="clear"/>
            <w:tcMar>
              <w:top w:type="dxa" w:w="48"/>
              <w:left w:type="dxa" w:w="80"/>
              <w:bottom w:type="dxa" w:w="48"/>
              <w:right w:type="dxa" w:w="80"/>
            </w:tcMar>
          </w:tcPr>
          <w:p>
            <w:pPr>
              <w:jc w:val="center"/>
            </w:pPr>
            <w:r>
              <w:rPr>
                <w:b/>
                <w:bCs/>
                <w:sz w:val="15"/>
                <w:szCs w:val="15"/>
              </w:rPr>
              <w:t xml:space="preserve">d_eff_raw</w:t>
            </w:r>
          </w:p>
        </w:tc>
        <w:tc>
          <w:tcPr>
            <w:tcW w:type="dxa" w:w="1700"/>
            <w:shd w:fill="E8E8E8" w:val="clear"/>
            <w:tcMar>
              <w:top w:type="dxa" w:w="48"/>
              <w:left w:type="dxa" w:w="80"/>
              <w:bottom w:type="dxa" w:w="48"/>
              <w:right w:type="dxa" w:w="80"/>
            </w:tcMar>
          </w:tcPr>
          <w:p>
            <w:pPr>
              <w:jc w:val="center"/>
            </w:pPr>
            <w:r>
              <w:rPr>
                <w:b/>
                <w:bCs/>
                <w:sz w:val="15"/>
                <w:szCs w:val="15"/>
              </w:rPr>
              <w:t xml:space="preserve">τ / radio</w:t>
            </w:r>
          </w:p>
        </w:tc>
        <w:tc>
          <w:tcPr>
            <w:tcW w:type="dxa" w:w="1700"/>
            <w:shd w:fill="E8E8E8" w:val="clear"/>
            <w:tcMar>
              <w:top w:type="dxa" w:w="48"/>
              <w:left w:type="dxa" w:w="80"/>
              <w:bottom w:type="dxa" w:w="48"/>
              <w:right w:type="dxa" w:w="80"/>
            </w:tcMar>
          </w:tcPr>
          <w:p>
            <w:pPr>
              <w:jc w:val="center"/>
            </w:pPr>
            <w:r>
              <w:rPr>
                <w:b/>
                <w:bCs/>
                <w:sz w:val="15"/>
                <w:szCs w:val="15"/>
              </w:rPr>
              <w:t xml:space="preserve">C12.a</w:t>
            </w:r>
          </w:p>
        </w:tc>
      </w:tr>
      <w:tr>
        <w:tc>
          <w:tcPr>
            <w:tcW w:type="dxa" w:w="1200"/>
            <w:tcMar>
              <w:top w:type="dxa" w:w="48"/>
              <w:left w:type="dxa" w:w="80"/>
              <w:bottom w:type="dxa" w:w="48"/>
              <w:right w:type="dxa" w:w="80"/>
            </w:tcMar>
          </w:tcPr>
          <w:p>
            <w:pPr>
              <w:jc w:val="center"/>
            </w:pPr>
            <w:r>
              <w:rPr>
                <w:b w:val="false"/>
                <w:bCs w:val="false"/>
                <w:sz w:val="15"/>
                <w:szCs w:val="15"/>
              </w:rPr>
              <w:t xml:space="preserve">1</w:t>
            </w:r>
          </w:p>
        </w:tc>
        <w:tc>
          <w:tcPr>
            <w:tcW w:type="dxa" w:w="1700"/>
            <w:tcMar>
              <w:top w:type="dxa" w:w="48"/>
              <w:left w:type="dxa" w:w="80"/>
              <w:bottom w:type="dxa" w:w="48"/>
              <w:right w:type="dxa" w:w="80"/>
            </w:tcMar>
          </w:tcPr>
          <w:p>
            <w:pPr>
              <w:jc w:val="center"/>
            </w:pPr>
            <w:r>
              <w:rPr>
                <w:b w:val="false"/>
                <w:bCs w:val="false"/>
                <w:sz w:val="15"/>
                <w:szCs w:val="15"/>
              </w:rPr>
              <w:t xml:space="preserve">0,9932</w:t>
            </w:r>
          </w:p>
        </w:tc>
        <w:tc>
          <w:tcPr>
            <w:tcW w:type="dxa" w:w="1700"/>
            <w:tcMar>
              <w:top w:type="dxa" w:w="48"/>
              <w:left w:type="dxa" w:w="80"/>
              <w:bottom w:type="dxa" w:w="48"/>
              <w:right w:type="dxa" w:w="80"/>
            </w:tcMar>
          </w:tcPr>
          <w:p>
            <w:pPr>
              <w:jc w:val="center"/>
            </w:pPr>
            <w:r>
              <w:rPr>
                <w:b w:val="false"/>
                <w:bCs w:val="false"/>
                <w:sz w:val="15"/>
                <w:szCs w:val="15"/>
              </w:rPr>
              <w:t xml:space="preserve">1,70</w:t>
            </w:r>
          </w:p>
        </w:tc>
        <w:tc>
          <w:tcPr>
            <w:tcW w:type="dxa" w:w="1700"/>
            <w:tcMar>
              <w:top w:type="dxa" w:w="48"/>
              <w:left w:type="dxa" w:w="80"/>
              <w:bottom w:type="dxa" w:w="48"/>
              <w:right w:type="dxa" w:w="80"/>
            </w:tcMar>
          </w:tcPr>
          <w:p>
            <w:pPr>
              <w:jc w:val="center"/>
            </w:pPr>
            <w:r>
              <w:rPr>
                <w:b w:val="false"/>
                <w:bCs w:val="false"/>
                <w:sz w:val="15"/>
                <w:szCs w:val="15"/>
              </w:rPr>
              <w:t xml:space="preserve">0,0753</w:t>
            </w:r>
          </w:p>
        </w:tc>
        <w:tc>
          <w:tcPr>
            <w:tcW w:type="dxa" w:w="1700"/>
            <w:tcMar>
              <w:top w:type="dxa" w:w="48"/>
              <w:left w:type="dxa" w:w="80"/>
              <w:bottom w:type="dxa" w:w="48"/>
              <w:right w:type="dxa" w:w="80"/>
            </w:tcMar>
          </w:tcPr>
          <w:p>
            <w:pPr>
              <w:jc w:val="center"/>
            </w:pPr>
            <w:r>
              <w:rPr>
                <w:b w:val="false"/>
                <w:bCs w:val="false"/>
                <w:sz w:val="15"/>
                <w:szCs w:val="15"/>
              </w:rPr>
              <w:t xml:space="preserve">OK</w:t>
            </w:r>
          </w:p>
        </w:tc>
      </w:tr>
      <w:tr>
        <w:tc>
          <w:tcPr>
            <w:tcW w:type="dxa" w:w="1200"/>
            <w:tcMar>
              <w:top w:type="dxa" w:w="48"/>
              <w:left w:type="dxa" w:w="80"/>
              <w:bottom w:type="dxa" w:w="48"/>
              <w:right w:type="dxa" w:w="80"/>
            </w:tcMar>
          </w:tcPr>
          <w:p>
            <w:pPr>
              <w:jc w:val="center"/>
            </w:pPr>
            <w:r>
              <w:rPr>
                <w:b w:val="false"/>
                <w:bCs w:val="false"/>
                <w:sz w:val="15"/>
                <w:szCs w:val="15"/>
              </w:rPr>
              <w:t xml:space="preserve">10</w:t>
            </w:r>
          </w:p>
        </w:tc>
        <w:tc>
          <w:tcPr>
            <w:tcW w:type="dxa" w:w="1700"/>
            <w:tcMar>
              <w:top w:type="dxa" w:w="48"/>
              <w:left w:type="dxa" w:w="80"/>
              <w:bottom w:type="dxa" w:w="48"/>
              <w:right w:type="dxa" w:w="80"/>
            </w:tcMar>
          </w:tcPr>
          <w:p>
            <w:pPr>
              <w:jc w:val="center"/>
            </w:pPr>
            <w:r>
              <w:rPr>
                <w:b w:val="false"/>
                <w:bCs w:val="false"/>
                <w:sz w:val="15"/>
                <w:szCs w:val="15"/>
              </w:rPr>
              <w:t xml:space="preserve">0,9944</w:t>
            </w:r>
          </w:p>
        </w:tc>
        <w:tc>
          <w:tcPr>
            <w:tcW w:type="dxa" w:w="1700"/>
            <w:tcMar>
              <w:top w:type="dxa" w:w="48"/>
              <w:left w:type="dxa" w:w="80"/>
              <w:bottom w:type="dxa" w:w="48"/>
              <w:right w:type="dxa" w:w="80"/>
            </w:tcMar>
          </w:tcPr>
          <w:p>
            <w:pPr>
              <w:jc w:val="center"/>
            </w:pPr>
            <w:r>
              <w:rPr>
                <w:b w:val="false"/>
                <w:bCs w:val="false"/>
                <w:sz w:val="15"/>
                <w:szCs w:val="15"/>
              </w:rPr>
              <w:t xml:space="preserve">2,38</w:t>
            </w:r>
          </w:p>
        </w:tc>
        <w:tc>
          <w:tcPr>
            <w:tcW w:type="dxa" w:w="1700"/>
            <w:tcMar>
              <w:top w:type="dxa" w:w="48"/>
              <w:left w:type="dxa" w:w="80"/>
              <w:bottom w:type="dxa" w:w="48"/>
              <w:right w:type="dxa" w:w="80"/>
            </w:tcMar>
          </w:tcPr>
          <w:p>
            <w:pPr>
              <w:jc w:val="center"/>
            </w:pPr>
            <w:r>
              <w:rPr>
                <w:b w:val="false"/>
                <w:bCs w:val="false"/>
                <w:sz w:val="15"/>
                <w:szCs w:val="15"/>
              </w:rPr>
              <w:t xml:space="preserve">0,0940</w:t>
            </w:r>
          </w:p>
        </w:tc>
        <w:tc>
          <w:tcPr>
            <w:tcW w:type="dxa" w:w="1700"/>
            <w:tcMar>
              <w:top w:type="dxa" w:w="48"/>
              <w:left w:type="dxa" w:w="80"/>
              <w:bottom w:type="dxa" w:w="48"/>
              <w:right w:type="dxa" w:w="80"/>
            </w:tcMar>
          </w:tcPr>
          <w:p>
            <w:pPr>
              <w:jc w:val="center"/>
            </w:pPr>
            <w:r>
              <w:rPr>
                <w:b w:val="false"/>
                <w:bCs w:val="false"/>
                <w:sz w:val="15"/>
                <w:szCs w:val="15"/>
              </w:rPr>
              <w:t xml:space="preserve">OK</w:t>
            </w:r>
          </w:p>
        </w:tc>
      </w:tr>
      <w:tr>
        <w:tc>
          <w:tcPr>
            <w:tcW w:type="dxa" w:w="1200"/>
            <w:tcMar>
              <w:top w:type="dxa" w:w="48"/>
              <w:left w:type="dxa" w:w="80"/>
              <w:bottom w:type="dxa" w:w="48"/>
              <w:right w:type="dxa" w:w="80"/>
            </w:tcMar>
          </w:tcPr>
          <w:p>
            <w:pPr>
              <w:jc w:val="center"/>
            </w:pPr>
            <w:r>
              <w:rPr>
                <w:b w:val="false"/>
                <w:bCs w:val="false"/>
                <w:sz w:val="15"/>
                <w:szCs w:val="15"/>
              </w:rPr>
              <w:t xml:space="preserve">20</w:t>
            </w:r>
          </w:p>
        </w:tc>
        <w:tc>
          <w:tcPr>
            <w:tcW w:type="dxa" w:w="1700"/>
            <w:tcMar>
              <w:top w:type="dxa" w:w="48"/>
              <w:left w:type="dxa" w:w="80"/>
              <w:bottom w:type="dxa" w:w="48"/>
              <w:right w:type="dxa" w:w="80"/>
            </w:tcMar>
          </w:tcPr>
          <w:p>
            <w:pPr>
              <w:jc w:val="center"/>
            </w:pPr>
            <w:r>
              <w:rPr>
                <w:b w:val="false"/>
                <w:bCs w:val="false"/>
                <w:sz w:val="15"/>
                <w:szCs w:val="15"/>
              </w:rPr>
              <w:t xml:space="preserve">0,9646</w:t>
            </w:r>
          </w:p>
        </w:tc>
        <w:tc>
          <w:tcPr>
            <w:tcW w:type="dxa" w:w="1700"/>
            <w:tcMar>
              <w:top w:type="dxa" w:w="48"/>
              <w:left w:type="dxa" w:w="80"/>
              <w:bottom w:type="dxa" w:w="48"/>
              <w:right w:type="dxa" w:w="80"/>
            </w:tcMar>
          </w:tcPr>
          <w:p>
            <w:pPr>
              <w:jc w:val="center"/>
            </w:pPr>
            <w:r>
              <w:rPr>
                <w:b w:val="false"/>
                <w:bCs w:val="false"/>
                <w:sz w:val="15"/>
                <w:szCs w:val="15"/>
              </w:rPr>
              <w:t xml:space="preserve">2,82</w:t>
            </w:r>
          </w:p>
        </w:tc>
        <w:tc>
          <w:tcPr>
            <w:tcW w:type="dxa" w:w="1700"/>
            <w:tcMar>
              <w:top w:type="dxa" w:w="48"/>
              <w:left w:type="dxa" w:w="80"/>
              <w:bottom w:type="dxa" w:w="48"/>
              <w:right w:type="dxa" w:w="80"/>
            </w:tcMar>
          </w:tcPr>
          <w:p>
            <w:pPr>
              <w:jc w:val="center"/>
            </w:pPr>
            <w:r>
              <w:rPr>
                <w:b w:val="false"/>
                <w:bCs w:val="false"/>
                <w:sz w:val="15"/>
                <w:szCs w:val="15"/>
              </w:rPr>
              <w:t xml:space="preserve">0,1045</w:t>
            </w:r>
          </w:p>
        </w:tc>
        <w:tc>
          <w:tcPr>
            <w:tcW w:type="dxa" w:w="1700"/>
            <w:tcMar>
              <w:top w:type="dxa" w:w="48"/>
              <w:left w:type="dxa" w:w="80"/>
              <w:bottom w:type="dxa" w:w="48"/>
              <w:right w:type="dxa" w:w="80"/>
            </w:tcMar>
          </w:tcPr>
          <w:p>
            <w:pPr>
              <w:jc w:val="center"/>
            </w:pPr>
            <w:r>
              <w:rPr>
                <w:b w:val="false"/>
                <w:bCs w:val="false"/>
                <w:sz w:val="15"/>
                <w:szCs w:val="15"/>
              </w:rPr>
              <w:t xml:space="preserve">OK</w:t>
            </w:r>
          </w:p>
        </w:tc>
      </w:tr>
      <w:tr>
        <w:tc>
          <w:tcPr>
            <w:tcW w:type="dxa" w:w="1200"/>
            <w:tcMar>
              <w:top w:type="dxa" w:w="48"/>
              <w:left w:type="dxa" w:w="80"/>
              <w:bottom w:type="dxa" w:w="48"/>
              <w:right w:type="dxa" w:w="80"/>
            </w:tcMar>
          </w:tcPr>
          <w:p>
            <w:pPr>
              <w:jc w:val="center"/>
            </w:pPr>
            <w:r>
              <w:rPr>
                <w:b w:val="false"/>
                <w:bCs w:val="false"/>
                <w:sz w:val="15"/>
                <w:szCs w:val="15"/>
              </w:rPr>
              <w:t xml:space="preserve">25</w:t>
            </w:r>
          </w:p>
        </w:tc>
        <w:tc>
          <w:tcPr>
            <w:tcW w:type="dxa" w:w="1700"/>
            <w:tcMar>
              <w:top w:type="dxa" w:w="48"/>
              <w:left w:type="dxa" w:w="80"/>
              <w:bottom w:type="dxa" w:w="48"/>
              <w:right w:type="dxa" w:w="80"/>
            </w:tcMar>
          </w:tcPr>
          <w:p>
            <w:pPr>
              <w:jc w:val="center"/>
            </w:pPr>
            <w:r>
              <w:rPr>
                <w:b w:val="false"/>
                <w:bCs w:val="false"/>
                <w:sz w:val="15"/>
                <w:szCs w:val="15"/>
              </w:rPr>
              <w:t xml:space="preserve">0,9674</w:t>
            </w:r>
          </w:p>
        </w:tc>
        <w:tc>
          <w:tcPr>
            <w:tcW w:type="dxa" w:w="1700"/>
            <w:tcMar>
              <w:top w:type="dxa" w:w="48"/>
              <w:left w:type="dxa" w:w="80"/>
              <w:bottom w:type="dxa" w:w="48"/>
              <w:right w:type="dxa" w:w="80"/>
            </w:tcMar>
          </w:tcPr>
          <w:p>
            <w:pPr>
              <w:jc w:val="center"/>
            </w:pPr>
            <w:r>
              <w:rPr>
                <w:b w:val="false"/>
                <w:bCs w:val="false"/>
                <w:sz w:val="15"/>
                <w:szCs w:val="15"/>
              </w:rPr>
              <w:t xml:space="preserve">2,92</w:t>
            </w:r>
          </w:p>
        </w:tc>
        <w:tc>
          <w:tcPr>
            <w:tcW w:type="dxa" w:w="1700"/>
            <w:tcMar>
              <w:top w:type="dxa" w:w="48"/>
              <w:left w:type="dxa" w:w="80"/>
              <w:bottom w:type="dxa" w:w="48"/>
              <w:right w:type="dxa" w:w="80"/>
            </w:tcMar>
          </w:tcPr>
          <w:p>
            <w:pPr>
              <w:jc w:val="center"/>
            </w:pPr>
            <w:r>
              <w:rPr>
                <w:b w:val="false"/>
                <w:bCs w:val="false"/>
                <w:sz w:val="15"/>
                <w:szCs w:val="15"/>
              </w:rPr>
              <w:t xml:space="preserve">0,1156</w:t>
            </w:r>
          </w:p>
        </w:tc>
        <w:tc>
          <w:tcPr>
            <w:tcW w:type="dxa" w:w="1700"/>
            <w:tcMar>
              <w:top w:type="dxa" w:w="48"/>
              <w:left w:type="dxa" w:w="80"/>
              <w:bottom w:type="dxa" w:w="48"/>
              <w:right w:type="dxa" w:w="80"/>
            </w:tcMar>
          </w:tcPr>
          <w:p>
            <w:pPr>
              <w:jc w:val="center"/>
            </w:pPr>
            <w:r>
              <w:rPr>
                <w:b w:val="false"/>
                <w:bCs w:val="false"/>
                <w:sz w:val="15"/>
                <w:szCs w:val="15"/>
              </w:rPr>
              <w:t xml:space="preserve">OK</w:t>
            </w:r>
          </w:p>
        </w:tc>
      </w:tr>
      <w:tr>
        <w:tc>
          <w:tcPr>
            <w:tcW w:type="dxa" w:w="1200"/>
            <w:tcMar>
              <w:top w:type="dxa" w:w="48"/>
              <w:left w:type="dxa" w:w="80"/>
              <w:bottom w:type="dxa" w:w="48"/>
              <w:right w:type="dxa" w:w="80"/>
            </w:tcMar>
          </w:tcPr>
          <w:p>
            <w:pPr>
              <w:jc w:val="center"/>
            </w:pPr>
            <w:r>
              <w:rPr>
                <w:b w:val="false"/>
                <w:bCs w:val="false"/>
                <w:sz w:val="15"/>
                <w:szCs w:val="15"/>
              </w:rPr>
              <w:t xml:space="preserve">26</w:t>
            </w:r>
          </w:p>
        </w:tc>
        <w:tc>
          <w:tcPr>
            <w:tcW w:type="dxa" w:w="1700"/>
            <w:tcMar>
              <w:top w:type="dxa" w:w="48"/>
              <w:left w:type="dxa" w:w="80"/>
              <w:bottom w:type="dxa" w:w="48"/>
              <w:right w:type="dxa" w:w="80"/>
            </w:tcMar>
          </w:tcPr>
          <w:p>
            <w:pPr>
              <w:jc w:val="center"/>
            </w:pPr>
            <w:r>
              <w:rPr>
                <w:b w:val="false"/>
                <w:bCs w:val="false"/>
                <w:sz w:val="15"/>
                <w:szCs w:val="15"/>
              </w:rPr>
              <w:t xml:space="preserve">0,9472</w:t>
            </w:r>
          </w:p>
        </w:tc>
        <w:tc>
          <w:tcPr>
            <w:tcW w:type="dxa" w:w="1700"/>
            <w:tcMar>
              <w:top w:type="dxa" w:w="48"/>
              <w:left w:type="dxa" w:w="80"/>
              <w:bottom w:type="dxa" w:w="48"/>
              <w:right w:type="dxa" w:w="80"/>
            </w:tcMar>
          </w:tcPr>
          <w:p>
            <w:pPr>
              <w:jc w:val="center"/>
            </w:pPr>
            <w:r>
              <w:rPr>
                <w:b w:val="false"/>
                <w:bCs w:val="false"/>
                <w:sz w:val="15"/>
                <w:szCs w:val="15"/>
              </w:rPr>
              <w:t xml:space="preserve">3,02</w:t>
            </w:r>
          </w:p>
        </w:tc>
        <w:tc>
          <w:tcPr>
            <w:tcW w:type="dxa" w:w="1700"/>
            <w:tcMar>
              <w:top w:type="dxa" w:w="48"/>
              <w:left w:type="dxa" w:w="80"/>
              <w:bottom w:type="dxa" w:w="48"/>
              <w:right w:type="dxa" w:w="80"/>
            </w:tcMar>
          </w:tcPr>
          <w:p>
            <w:pPr>
              <w:jc w:val="center"/>
            </w:pPr>
            <w:r>
              <w:rPr>
                <w:b w:val="false"/>
                <w:bCs w:val="false"/>
                <w:sz w:val="15"/>
                <w:szCs w:val="15"/>
              </w:rPr>
              <w:t xml:space="preserve">0,1286</w:t>
            </w:r>
          </w:p>
        </w:tc>
        <w:tc>
          <w:tcPr>
            <w:tcW w:type="dxa" w:w="1700"/>
            <w:tcMar>
              <w:top w:type="dxa" w:w="48"/>
              <w:left w:type="dxa" w:w="80"/>
              <w:bottom w:type="dxa" w:w="48"/>
              <w:right w:type="dxa" w:w="80"/>
            </w:tcMar>
          </w:tcPr>
          <w:p>
            <w:pPr>
              <w:jc w:val="center"/>
            </w:pPr>
            <w:r>
              <w:rPr>
                <w:b w:val="false"/>
                <w:bCs w:val="false"/>
                <w:sz w:val="15"/>
                <w:szCs w:val="15"/>
              </w:rPr>
              <w:t xml:space="preserve">incumple</w:t>
            </w:r>
          </w:p>
        </w:tc>
      </w:tr>
      <w:tr>
        <w:tc>
          <w:tcPr>
            <w:tcW w:type="dxa" w:w="1200"/>
            <w:tcMar>
              <w:top w:type="dxa" w:w="48"/>
              <w:left w:type="dxa" w:w="80"/>
              <w:bottom w:type="dxa" w:w="48"/>
              <w:right w:type="dxa" w:w="80"/>
            </w:tcMar>
          </w:tcPr>
          <w:p>
            <w:pPr>
              <w:jc w:val="center"/>
            </w:pPr>
            <w:r>
              <w:rPr>
                <w:b w:val="false"/>
                <w:bCs w:val="false"/>
                <w:sz w:val="15"/>
                <w:szCs w:val="15"/>
              </w:rPr>
              <w:t xml:space="preserve">29</w:t>
            </w:r>
          </w:p>
        </w:tc>
        <w:tc>
          <w:tcPr>
            <w:tcW w:type="dxa" w:w="1700"/>
            <w:tcMar>
              <w:top w:type="dxa" w:w="48"/>
              <w:left w:type="dxa" w:w="80"/>
              <w:bottom w:type="dxa" w:w="48"/>
              <w:right w:type="dxa" w:w="80"/>
            </w:tcMar>
          </w:tcPr>
          <w:p>
            <w:pPr>
              <w:jc w:val="center"/>
            </w:pPr>
            <w:r>
              <w:rPr>
                <w:b w:val="false"/>
                <w:bCs w:val="false"/>
                <w:sz w:val="15"/>
                <w:szCs w:val="15"/>
              </w:rPr>
              <w:t xml:space="preserve">0,9589</w:t>
            </w:r>
          </w:p>
        </w:tc>
        <w:tc>
          <w:tcPr>
            <w:tcW w:type="dxa" w:w="1700"/>
            <w:tcMar>
              <w:top w:type="dxa" w:w="48"/>
              <w:left w:type="dxa" w:w="80"/>
              <w:bottom w:type="dxa" w:w="48"/>
              <w:right w:type="dxa" w:w="80"/>
            </w:tcMar>
          </w:tcPr>
          <w:p>
            <w:pPr>
              <w:jc w:val="center"/>
            </w:pPr>
            <w:r>
              <w:rPr>
                <w:b w:val="false"/>
                <w:bCs w:val="false"/>
                <w:sz w:val="15"/>
                <w:szCs w:val="15"/>
              </w:rPr>
              <w:t xml:space="preserve">2,88</w:t>
            </w:r>
          </w:p>
        </w:tc>
        <w:tc>
          <w:tcPr>
            <w:tcW w:type="dxa" w:w="1700"/>
            <w:tcMar>
              <w:top w:type="dxa" w:w="48"/>
              <w:left w:type="dxa" w:w="80"/>
              <w:bottom w:type="dxa" w:w="48"/>
              <w:right w:type="dxa" w:w="80"/>
            </w:tcMar>
          </w:tcPr>
          <w:p>
            <w:pPr>
              <w:jc w:val="center"/>
            </w:pPr>
            <w:r>
              <w:rPr>
                <w:b w:val="false"/>
                <w:bCs w:val="false"/>
                <w:sz w:val="15"/>
                <w:szCs w:val="15"/>
              </w:rPr>
              <w:t xml:space="preserve">0,1022</w:t>
            </w:r>
          </w:p>
        </w:tc>
        <w:tc>
          <w:tcPr>
            <w:tcW w:type="dxa" w:w="1700"/>
            <w:tcMar>
              <w:top w:type="dxa" w:w="48"/>
              <w:left w:type="dxa" w:w="80"/>
              <w:bottom w:type="dxa" w:w="48"/>
              <w:right w:type="dxa" w:w="80"/>
            </w:tcMar>
          </w:tcPr>
          <w:p>
            <w:pPr>
              <w:jc w:val="center"/>
            </w:pPr>
            <w:r>
              <w:rPr>
                <w:b w:val="false"/>
                <w:bCs w:val="false"/>
                <w:sz w:val="15"/>
                <w:szCs w:val="15"/>
              </w:rPr>
              <w:t xml:space="preserve">OK</w:t>
            </w:r>
          </w:p>
        </w:tc>
      </w:tr>
      <w:tr>
        <w:tc>
          <w:tcPr>
            <w:tcW w:type="dxa" w:w="1200"/>
            <w:tcMar>
              <w:top w:type="dxa" w:w="48"/>
              <w:left w:type="dxa" w:w="80"/>
              <w:bottom w:type="dxa" w:w="48"/>
              <w:right w:type="dxa" w:w="80"/>
            </w:tcMar>
          </w:tcPr>
          <w:p>
            <w:pPr>
              <w:jc w:val="center"/>
            </w:pPr>
            <w:r>
              <w:rPr>
                <w:b w:val="false"/>
                <w:bCs w:val="false"/>
                <w:sz w:val="15"/>
                <w:szCs w:val="15"/>
              </w:rPr>
              <w:t xml:space="preserve">30</w:t>
            </w:r>
          </w:p>
        </w:tc>
        <w:tc>
          <w:tcPr>
            <w:tcW w:type="dxa" w:w="1700"/>
            <w:tcMar>
              <w:top w:type="dxa" w:w="48"/>
              <w:left w:type="dxa" w:w="80"/>
              <w:bottom w:type="dxa" w:w="48"/>
              <w:right w:type="dxa" w:w="80"/>
            </w:tcMar>
          </w:tcPr>
          <w:p>
            <w:pPr>
              <w:jc w:val="center"/>
            </w:pPr>
            <w:r>
              <w:rPr>
                <w:b w:val="false"/>
                <w:bCs w:val="false"/>
                <w:sz w:val="15"/>
                <w:szCs w:val="15"/>
              </w:rPr>
              <w:t xml:space="preserve">0,9318</w:t>
            </w:r>
          </w:p>
        </w:tc>
        <w:tc>
          <w:tcPr>
            <w:tcW w:type="dxa" w:w="1700"/>
            <w:tcMar>
              <w:top w:type="dxa" w:w="48"/>
              <w:left w:type="dxa" w:w="80"/>
              <w:bottom w:type="dxa" w:w="48"/>
              <w:right w:type="dxa" w:w="80"/>
            </w:tcMar>
          </w:tcPr>
          <w:p>
            <w:pPr>
              <w:jc w:val="center"/>
            </w:pPr>
            <w:r>
              <w:rPr>
                <w:b w:val="false"/>
                <w:bCs w:val="false"/>
                <w:sz w:val="15"/>
                <w:szCs w:val="15"/>
              </w:rPr>
              <w:t xml:space="preserve">3,02</w:t>
            </w:r>
          </w:p>
        </w:tc>
        <w:tc>
          <w:tcPr>
            <w:tcW w:type="dxa" w:w="1700"/>
            <w:tcMar>
              <w:top w:type="dxa" w:w="48"/>
              <w:left w:type="dxa" w:w="80"/>
              <w:bottom w:type="dxa" w:w="48"/>
              <w:right w:type="dxa" w:w="80"/>
            </w:tcMar>
          </w:tcPr>
          <w:p>
            <w:pPr>
              <w:jc w:val="center"/>
            </w:pPr>
            <w:r>
              <w:rPr>
                <w:b w:val="false"/>
                <w:bCs w:val="false"/>
                <w:sz w:val="15"/>
                <w:szCs w:val="15"/>
              </w:rPr>
              <w:t xml:space="preserve">0,1304</w:t>
            </w:r>
          </w:p>
        </w:tc>
        <w:tc>
          <w:tcPr>
            <w:tcW w:type="dxa" w:w="1700"/>
            <w:tcMar>
              <w:top w:type="dxa" w:w="48"/>
              <w:left w:type="dxa" w:w="80"/>
              <w:bottom w:type="dxa" w:w="48"/>
              <w:right w:type="dxa" w:w="80"/>
            </w:tcMar>
          </w:tcPr>
          <w:p>
            <w:pPr>
              <w:jc w:val="center"/>
            </w:pPr>
            <w:r>
              <w:rPr>
                <w:b w:val="false"/>
                <w:bCs w:val="false"/>
                <w:sz w:val="15"/>
                <w:szCs w:val="15"/>
              </w:rPr>
              <w:t xml:space="preserve">incumple</w:t>
            </w:r>
          </w:p>
        </w:tc>
      </w:tr>
      <w:tr>
        <w:tc>
          <w:tcPr>
            <w:tcW w:type="dxa" w:w="1200"/>
            <w:tcMar>
              <w:top w:type="dxa" w:w="48"/>
              <w:left w:type="dxa" w:w="80"/>
              <w:bottom w:type="dxa" w:w="48"/>
              <w:right w:type="dxa" w:w="80"/>
            </w:tcMar>
          </w:tcPr>
          <w:p>
            <w:pPr>
              <w:jc w:val="center"/>
            </w:pPr>
            <w:r>
              <w:rPr>
                <w:b w:val="false"/>
                <w:bCs w:val="false"/>
                <w:sz w:val="15"/>
                <w:szCs w:val="15"/>
              </w:rPr>
              <w:t xml:space="preserve">40</w:t>
            </w:r>
          </w:p>
        </w:tc>
        <w:tc>
          <w:tcPr>
            <w:tcW w:type="dxa" w:w="1700"/>
            <w:tcMar>
              <w:top w:type="dxa" w:w="48"/>
              <w:left w:type="dxa" w:w="80"/>
              <w:bottom w:type="dxa" w:w="48"/>
              <w:right w:type="dxa" w:w="80"/>
            </w:tcMar>
          </w:tcPr>
          <w:p>
            <w:pPr>
              <w:jc w:val="center"/>
            </w:pPr>
            <w:r>
              <w:rPr>
                <w:b w:val="false"/>
                <w:bCs w:val="false"/>
                <w:sz w:val="15"/>
                <w:szCs w:val="15"/>
              </w:rPr>
              <w:t xml:space="preserve">0,8897</w:t>
            </w:r>
          </w:p>
        </w:tc>
        <w:tc>
          <w:tcPr>
            <w:tcW w:type="dxa" w:w="1700"/>
            <w:tcMar>
              <w:top w:type="dxa" w:w="48"/>
              <w:left w:type="dxa" w:w="80"/>
              <w:bottom w:type="dxa" w:w="48"/>
              <w:right w:type="dxa" w:w="80"/>
            </w:tcMar>
          </w:tcPr>
          <w:p>
            <w:pPr>
              <w:jc w:val="center"/>
            </w:pPr>
            <w:r>
              <w:rPr>
                <w:b w:val="false"/>
                <w:bCs w:val="false"/>
                <w:sz w:val="15"/>
                <w:szCs w:val="15"/>
              </w:rPr>
              <w:t xml:space="preserve">3,20</w:t>
            </w:r>
          </w:p>
        </w:tc>
        <w:tc>
          <w:tcPr>
            <w:tcW w:type="dxa" w:w="1700"/>
            <w:tcMar>
              <w:top w:type="dxa" w:w="48"/>
              <w:left w:type="dxa" w:w="80"/>
              <w:bottom w:type="dxa" w:w="48"/>
              <w:right w:type="dxa" w:w="80"/>
            </w:tcMar>
          </w:tcPr>
          <w:p>
            <w:pPr>
              <w:jc w:val="center"/>
            </w:pPr>
            <w:r>
              <w:rPr>
                <w:b w:val="false"/>
                <w:bCs w:val="false"/>
                <w:sz w:val="15"/>
                <w:szCs w:val="15"/>
              </w:rPr>
              <w:t xml:space="preserve">0,1437</w:t>
            </w:r>
          </w:p>
        </w:tc>
        <w:tc>
          <w:tcPr>
            <w:tcW w:type="dxa" w:w="1700"/>
            <w:tcMar>
              <w:top w:type="dxa" w:w="48"/>
              <w:left w:type="dxa" w:w="80"/>
              <w:bottom w:type="dxa" w:w="48"/>
              <w:right w:type="dxa" w:w="80"/>
            </w:tcMar>
          </w:tcPr>
          <w:p>
            <w:pPr>
              <w:jc w:val="center"/>
            </w:pPr>
            <w:r>
              <w:rPr>
                <w:b w:val="false"/>
                <w:bCs w:val="false"/>
                <w:sz w:val="15"/>
                <w:szCs w:val="15"/>
              </w:rPr>
              <w:t xml:space="preserve">incumple</w:t>
            </w:r>
          </w:p>
        </w:tc>
      </w:tr>
    </w:tbl>
    <w:p>
      <w:pPr>
        <w:spacing w:after="160"/>
      </w:pPr>
    </w:p>
    <w:p>
      <w:pPr>
        <w:spacing w:after="120"/>
      </w:pPr>
      <w:r>
        <w:rPr>
          <w:b/>
          <w:bCs/>
        </w:rPr>
        <w:t xml:space="preserve">La degradación es gradual y no monótona. </w:t>
      </w:r>
      <w:r>
        <w:t xml:space="preserve">El primer cruce ocurre en el snapshot 26; el 29 vuelve por encima del umbral; desde el 30 el incumplimiento es sostenido hasta el final del rango. Describir esto como un punto de quiebre limpio sería inexacto. La lectura que la evidencia sostiene es que la compresibilidad bidimensional se erosiona progresivamente y deja de cumplirse de forma estable a partir del snapshot 30, con un primer cruce en el 26.</w:t>
      </w:r>
    </w:p>
    <w:p>
      <w:pPr>
        <w:spacing w:after="120"/>
      </w:pPr>
      <w:r>
        <w:rPr>
          <w:b/>
          <w:bCs/>
        </w:rPr>
        <w:t xml:space="preserve">La frontera queda fuera del alcance del punto de control intermedio. </w:t>
      </w:r>
      <w:r>
        <w:t xml:space="preserve">En H = 2 el criterio se cumple en los veinte snapshots. Si la etapa se hubiera diseñado con H = 2 como variable operativa, el veredicto habría sido S12.2 —cota inferior sin caracterización— y la frontera habría quedado sin medir. La elección de H = 4 como variable operativa, declarada antes de correr, resultó necesaria y no sobredimensionada.</w:t>
      </w:r>
    </w:p>
    <w:p>
      <w:pPr>
        <w:spacing w:after="120"/>
      </w:pPr>
      <w:r>
        <w:rPr>
          <w:b/>
          <w:bCs/>
        </w:rPr>
        <w:t xml:space="preserve">Alcance de lo que este resultado afirma. </w:t>
      </w:r>
      <w:r>
        <w:t xml:space="preserve">Cruzar C12.a acota el régimen en que el ensemble es representable en dos componentes, que es donde el instrumento resulta más informativo. No declara la invalidez del método: el módulo no está atado a dos componentes y puede seguir operando con más. La precisión no es cosmética y quedó incorporada al prerregistro en su cuarta ronda de auditoría, precisamente para que el informe no heredara una lectura exagerada.</w:t>
      </w:r>
    </w:p>
    <w:p>
      <w:pPr>
        <w:pStyle w:val="Heading1"/>
        <w:spacing w:after="140" w:before="280"/>
      </w:pPr>
      <w:r>
        <w:t xml:space="preserve">5. La calibración no se degrada</w:t>
      </w:r>
    </w:p>
    <w:p>
      <w:pPr>
        <w:spacing w:after="120"/>
      </w:pPr>
      <w:r>
        <w:t xml:space="preserve">El criterio de calibración se evaluó por bloques de diez snapshots. El resultado es uniforme y merece destacarse porque separa con claridad dos propiedades que suelen confundirse.</w:t>
      </w:r>
    </w:p>
    <w:p>
      <w:pPr>
        <w:spacing w:after="16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300"/>
        <w:gridCol w:w="1300"/>
        <w:gridCol w:w="1300"/>
      </w:tblGrid>
      <w:tr>
        <w:tc>
          <w:tcPr>
            <w:tcW w:type="dxa" w:w="1500"/>
            <w:shd w:fill="E8E8E8" w:val="clear"/>
            <w:tcMar>
              <w:top w:type="dxa" w:w="48"/>
              <w:left w:type="dxa" w:w="80"/>
              <w:bottom w:type="dxa" w:w="48"/>
              <w:right w:type="dxa" w:w="80"/>
            </w:tcMar>
          </w:tcPr>
          <w:p>
            <w:pPr>
              <w:jc w:val="center"/>
            </w:pPr>
            <w:r>
              <w:rPr>
                <w:b/>
                <w:bCs/>
                <w:sz w:val="15"/>
                <w:szCs w:val="15"/>
              </w:rPr>
              <w:t xml:space="preserve">Bloque</w:t>
            </w:r>
          </w:p>
        </w:tc>
        <w:tc>
          <w:tcPr>
            <w:tcW w:type="dxa" w:w="1300"/>
            <w:shd w:fill="E8E8E8" w:val="clear"/>
            <w:tcMar>
              <w:top w:type="dxa" w:w="48"/>
              <w:left w:type="dxa" w:w="80"/>
              <w:bottom w:type="dxa" w:w="48"/>
              <w:right w:type="dxa" w:w="80"/>
            </w:tcMar>
          </w:tcPr>
          <w:p>
            <w:pPr>
              <w:jc w:val="center"/>
            </w:pPr>
            <w:r>
              <w:rPr>
                <w:b/>
                <w:bCs/>
                <w:sz w:val="15"/>
                <w:szCs w:val="15"/>
              </w:rPr>
              <w:t xml:space="preserve">0,30</w:t>
            </w:r>
          </w:p>
        </w:tc>
        <w:tc>
          <w:tcPr>
            <w:tcW w:type="dxa" w:w="1300"/>
            <w:shd w:fill="E8E8E8" w:val="clear"/>
            <w:tcMar>
              <w:top w:type="dxa" w:w="48"/>
              <w:left w:type="dxa" w:w="80"/>
              <w:bottom w:type="dxa" w:w="48"/>
              <w:right w:type="dxa" w:w="80"/>
            </w:tcMar>
          </w:tcPr>
          <w:p>
            <w:pPr>
              <w:jc w:val="center"/>
            </w:pPr>
            <w:r>
              <w:rPr>
                <w:b/>
                <w:bCs/>
                <w:sz w:val="15"/>
                <w:szCs w:val="15"/>
              </w:rPr>
              <w:t xml:space="preserve">0,50</w:t>
            </w:r>
          </w:p>
        </w:tc>
        <w:tc>
          <w:tcPr>
            <w:tcW w:type="dxa" w:w="1300"/>
            <w:shd w:fill="E8E8E8" w:val="clear"/>
            <w:tcMar>
              <w:top w:type="dxa" w:w="48"/>
              <w:left w:type="dxa" w:w="80"/>
              <w:bottom w:type="dxa" w:w="48"/>
              <w:right w:type="dxa" w:w="80"/>
            </w:tcMar>
          </w:tcPr>
          <w:p>
            <w:pPr>
              <w:jc w:val="center"/>
            </w:pPr>
            <w:r>
              <w:rPr>
                <w:b/>
                <w:bCs/>
                <w:sz w:val="15"/>
                <w:szCs w:val="15"/>
              </w:rPr>
              <w:t xml:space="preserve">0,80</w:t>
            </w:r>
          </w:p>
        </w:tc>
        <w:tc>
          <w:tcPr>
            <w:tcW w:type="dxa" w:w="1300"/>
            <w:shd w:fill="E8E8E8" w:val="clear"/>
            <w:tcMar>
              <w:top w:type="dxa" w:w="48"/>
              <w:left w:type="dxa" w:w="80"/>
              <w:bottom w:type="dxa" w:w="48"/>
              <w:right w:type="dxa" w:w="80"/>
            </w:tcMar>
          </w:tcPr>
          <w:p>
            <w:pPr>
              <w:jc w:val="center"/>
            </w:pPr>
            <w:r>
              <w:rPr>
                <w:b/>
                <w:bCs/>
                <w:sz w:val="15"/>
                <w:szCs w:val="15"/>
              </w:rPr>
              <w:t xml:space="preserve">0,90</w:t>
            </w:r>
          </w:p>
        </w:tc>
        <w:tc>
          <w:tcPr>
            <w:tcW w:type="dxa" w:w="1300"/>
            <w:shd w:fill="E8E8E8" w:val="clear"/>
            <w:tcMar>
              <w:top w:type="dxa" w:w="48"/>
              <w:left w:type="dxa" w:w="80"/>
              <w:bottom w:type="dxa" w:w="48"/>
              <w:right w:type="dxa" w:w="80"/>
            </w:tcMar>
          </w:tcPr>
          <w:p>
            <w:pPr>
              <w:jc w:val="center"/>
            </w:pPr>
            <w:r>
              <w:rPr>
                <w:b/>
                <w:bCs/>
                <w:sz w:val="15"/>
                <w:szCs w:val="15"/>
              </w:rPr>
              <w:t xml:space="preserve">0,95</w:t>
            </w:r>
          </w:p>
        </w:tc>
      </w:tr>
      <w:tr>
        <w:tc>
          <w:tcPr>
            <w:tcW w:type="dxa" w:w="1500"/>
            <w:tcMar>
              <w:top w:type="dxa" w:w="48"/>
              <w:left w:type="dxa" w:w="80"/>
              <w:bottom w:type="dxa" w:w="48"/>
              <w:right w:type="dxa" w:w="80"/>
            </w:tcMar>
          </w:tcPr>
          <w:p>
            <w:pPr>
              <w:jc w:val="center"/>
            </w:pPr>
            <w:r>
              <w:rPr>
                <w:b w:val="false"/>
                <w:bCs w:val="false"/>
                <w:sz w:val="15"/>
                <w:szCs w:val="15"/>
              </w:rPr>
              <w:t xml:space="preserve">1–10</w:t>
            </w:r>
          </w:p>
        </w:tc>
        <w:tc>
          <w:tcPr>
            <w:tcW w:type="dxa" w:w="1300"/>
            <w:tcMar>
              <w:top w:type="dxa" w:w="48"/>
              <w:left w:type="dxa" w:w="80"/>
              <w:bottom w:type="dxa" w:w="48"/>
              <w:right w:type="dxa" w:w="80"/>
            </w:tcMar>
          </w:tcPr>
          <w:p>
            <w:pPr>
              <w:jc w:val="center"/>
            </w:pPr>
            <w:r>
              <w:rPr>
                <w:b w:val="false"/>
                <w:bCs w:val="false"/>
                <w:sz w:val="15"/>
                <w:szCs w:val="15"/>
              </w:rPr>
              <w:t xml:space="preserve">33,51 %</w:t>
            </w:r>
          </w:p>
        </w:tc>
        <w:tc>
          <w:tcPr>
            <w:tcW w:type="dxa" w:w="1300"/>
            <w:tcMar>
              <w:top w:type="dxa" w:w="48"/>
              <w:left w:type="dxa" w:w="80"/>
              <w:bottom w:type="dxa" w:w="48"/>
              <w:right w:type="dxa" w:w="80"/>
            </w:tcMar>
          </w:tcPr>
          <w:p>
            <w:pPr>
              <w:jc w:val="center"/>
            </w:pPr>
            <w:r>
              <w:rPr>
                <w:b w:val="false"/>
                <w:bCs w:val="false"/>
                <w:sz w:val="15"/>
                <w:szCs w:val="15"/>
              </w:rPr>
              <w:t xml:space="preserve">52,93 %</w:t>
            </w:r>
          </w:p>
        </w:tc>
        <w:tc>
          <w:tcPr>
            <w:tcW w:type="dxa" w:w="1300"/>
            <w:tcMar>
              <w:top w:type="dxa" w:w="48"/>
              <w:left w:type="dxa" w:w="80"/>
              <w:bottom w:type="dxa" w:w="48"/>
              <w:right w:type="dxa" w:w="80"/>
            </w:tcMar>
          </w:tcPr>
          <w:p>
            <w:pPr>
              <w:jc w:val="center"/>
            </w:pPr>
            <w:r>
              <w:rPr>
                <w:b w:val="false"/>
                <w:bCs w:val="false"/>
                <w:sz w:val="15"/>
                <w:szCs w:val="15"/>
              </w:rPr>
              <w:t xml:space="preserve">80,87 %</w:t>
            </w:r>
          </w:p>
        </w:tc>
        <w:tc>
          <w:tcPr>
            <w:tcW w:type="dxa" w:w="1300"/>
            <w:tcMar>
              <w:top w:type="dxa" w:w="48"/>
              <w:left w:type="dxa" w:w="80"/>
              <w:bottom w:type="dxa" w:w="48"/>
              <w:right w:type="dxa" w:w="80"/>
            </w:tcMar>
          </w:tcPr>
          <w:p>
            <w:pPr>
              <w:jc w:val="center"/>
            </w:pPr>
            <w:r>
              <w:rPr>
                <w:b w:val="false"/>
                <w:bCs w:val="false"/>
                <w:sz w:val="15"/>
                <w:szCs w:val="15"/>
              </w:rPr>
              <w:t xml:space="preserve">90,13 %</w:t>
            </w:r>
          </w:p>
        </w:tc>
        <w:tc>
          <w:tcPr>
            <w:tcW w:type="dxa" w:w="1300"/>
            <w:tcMar>
              <w:top w:type="dxa" w:w="48"/>
              <w:left w:type="dxa" w:w="80"/>
              <w:bottom w:type="dxa" w:w="48"/>
              <w:right w:type="dxa" w:w="80"/>
            </w:tcMar>
          </w:tcPr>
          <w:p>
            <w:pPr>
              <w:jc w:val="center"/>
            </w:pPr>
            <w:r>
              <w:rPr>
                <w:b w:val="false"/>
                <w:bCs w:val="false"/>
                <w:sz w:val="15"/>
                <w:szCs w:val="15"/>
              </w:rPr>
              <w:t xml:space="preserve">95,20 %</w:t>
            </w:r>
          </w:p>
        </w:tc>
      </w:tr>
      <w:tr>
        <w:tc>
          <w:tcPr>
            <w:tcW w:type="dxa" w:w="1500"/>
            <w:tcMar>
              <w:top w:type="dxa" w:w="48"/>
              <w:left w:type="dxa" w:w="80"/>
              <w:bottom w:type="dxa" w:w="48"/>
              <w:right w:type="dxa" w:w="80"/>
            </w:tcMar>
          </w:tcPr>
          <w:p>
            <w:pPr>
              <w:jc w:val="center"/>
            </w:pPr>
            <w:r>
              <w:rPr>
                <w:b w:val="false"/>
                <w:bCs w:val="false"/>
                <w:sz w:val="15"/>
                <w:szCs w:val="15"/>
              </w:rPr>
              <w:t xml:space="preserve">11–20</w:t>
            </w:r>
          </w:p>
        </w:tc>
        <w:tc>
          <w:tcPr>
            <w:tcW w:type="dxa" w:w="1300"/>
            <w:tcMar>
              <w:top w:type="dxa" w:w="48"/>
              <w:left w:type="dxa" w:w="80"/>
              <w:bottom w:type="dxa" w:w="48"/>
              <w:right w:type="dxa" w:w="80"/>
            </w:tcMar>
          </w:tcPr>
          <w:p>
            <w:pPr>
              <w:jc w:val="center"/>
            </w:pPr>
            <w:r>
              <w:rPr>
                <w:b w:val="false"/>
                <w:bCs w:val="false"/>
                <w:sz w:val="15"/>
                <w:szCs w:val="15"/>
              </w:rPr>
              <w:t xml:space="preserve">32,84 %</w:t>
            </w:r>
          </w:p>
        </w:tc>
        <w:tc>
          <w:tcPr>
            <w:tcW w:type="dxa" w:w="1300"/>
            <w:tcMar>
              <w:top w:type="dxa" w:w="48"/>
              <w:left w:type="dxa" w:w="80"/>
              <w:bottom w:type="dxa" w:w="48"/>
              <w:right w:type="dxa" w:w="80"/>
            </w:tcMar>
          </w:tcPr>
          <w:p>
            <w:pPr>
              <w:jc w:val="center"/>
            </w:pPr>
            <w:r>
              <w:rPr>
                <w:b w:val="false"/>
                <w:bCs w:val="false"/>
                <w:sz w:val="15"/>
                <w:szCs w:val="15"/>
              </w:rPr>
              <w:t xml:space="preserve">51,86 %</w:t>
            </w:r>
          </w:p>
        </w:tc>
        <w:tc>
          <w:tcPr>
            <w:tcW w:type="dxa" w:w="1300"/>
            <w:tcMar>
              <w:top w:type="dxa" w:w="48"/>
              <w:left w:type="dxa" w:w="80"/>
              <w:bottom w:type="dxa" w:w="48"/>
              <w:right w:type="dxa" w:w="80"/>
            </w:tcMar>
          </w:tcPr>
          <w:p>
            <w:pPr>
              <w:jc w:val="center"/>
            </w:pPr>
            <w:r>
              <w:rPr>
                <w:b w:val="false"/>
                <w:bCs w:val="false"/>
                <w:sz w:val="15"/>
                <w:szCs w:val="15"/>
              </w:rPr>
              <w:t xml:space="preserve">80,12 %</w:t>
            </w:r>
          </w:p>
        </w:tc>
        <w:tc>
          <w:tcPr>
            <w:tcW w:type="dxa" w:w="1300"/>
            <w:tcMar>
              <w:top w:type="dxa" w:w="48"/>
              <w:left w:type="dxa" w:w="80"/>
              <w:bottom w:type="dxa" w:w="48"/>
              <w:right w:type="dxa" w:w="80"/>
            </w:tcMar>
          </w:tcPr>
          <w:p>
            <w:pPr>
              <w:jc w:val="center"/>
            </w:pPr>
            <w:r>
              <w:rPr>
                <w:b w:val="false"/>
                <w:bCs w:val="false"/>
                <w:sz w:val="15"/>
                <w:szCs w:val="15"/>
              </w:rPr>
              <w:t xml:space="preserve">90,00 %</w:t>
            </w:r>
          </w:p>
        </w:tc>
        <w:tc>
          <w:tcPr>
            <w:tcW w:type="dxa" w:w="1300"/>
            <w:tcMar>
              <w:top w:type="dxa" w:w="48"/>
              <w:left w:type="dxa" w:w="80"/>
              <w:bottom w:type="dxa" w:w="48"/>
              <w:right w:type="dxa" w:w="80"/>
            </w:tcMar>
          </w:tcPr>
          <w:p>
            <w:pPr>
              <w:jc w:val="center"/>
            </w:pPr>
            <w:r>
              <w:rPr>
                <w:b w:val="false"/>
                <w:bCs w:val="false"/>
                <w:sz w:val="15"/>
                <w:szCs w:val="15"/>
              </w:rPr>
              <w:t xml:space="preserve">95,16 %</w:t>
            </w:r>
          </w:p>
        </w:tc>
      </w:tr>
      <w:tr>
        <w:tc>
          <w:tcPr>
            <w:tcW w:type="dxa" w:w="1500"/>
            <w:tcMar>
              <w:top w:type="dxa" w:w="48"/>
              <w:left w:type="dxa" w:w="80"/>
              <w:bottom w:type="dxa" w:w="48"/>
              <w:right w:type="dxa" w:w="80"/>
            </w:tcMar>
          </w:tcPr>
          <w:p>
            <w:pPr>
              <w:jc w:val="center"/>
            </w:pPr>
            <w:r>
              <w:rPr>
                <w:b w:val="false"/>
                <w:bCs w:val="false"/>
                <w:sz w:val="15"/>
                <w:szCs w:val="15"/>
              </w:rPr>
              <w:t xml:space="preserve">21–30</w:t>
            </w:r>
          </w:p>
        </w:tc>
        <w:tc>
          <w:tcPr>
            <w:tcW w:type="dxa" w:w="1300"/>
            <w:tcMar>
              <w:top w:type="dxa" w:w="48"/>
              <w:left w:type="dxa" w:w="80"/>
              <w:bottom w:type="dxa" w:w="48"/>
              <w:right w:type="dxa" w:w="80"/>
            </w:tcMar>
          </w:tcPr>
          <w:p>
            <w:pPr>
              <w:jc w:val="center"/>
            </w:pPr>
            <w:r>
              <w:rPr>
                <w:b w:val="false"/>
                <w:bCs w:val="false"/>
                <w:sz w:val="15"/>
                <w:szCs w:val="15"/>
              </w:rPr>
              <w:t xml:space="preserve">32,68 %</w:t>
            </w:r>
          </w:p>
        </w:tc>
        <w:tc>
          <w:tcPr>
            <w:tcW w:type="dxa" w:w="1300"/>
            <w:tcMar>
              <w:top w:type="dxa" w:w="48"/>
              <w:left w:type="dxa" w:w="80"/>
              <w:bottom w:type="dxa" w:w="48"/>
              <w:right w:type="dxa" w:w="80"/>
            </w:tcMar>
          </w:tcPr>
          <w:p>
            <w:pPr>
              <w:jc w:val="center"/>
            </w:pPr>
            <w:r>
              <w:rPr>
                <w:b w:val="false"/>
                <w:bCs w:val="false"/>
                <w:sz w:val="15"/>
                <w:szCs w:val="15"/>
              </w:rPr>
              <w:t xml:space="preserve">52,18 %</w:t>
            </w:r>
          </w:p>
        </w:tc>
        <w:tc>
          <w:tcPr>
            <w:tcW w:type="dxa" w:w="1300"/>
            <w:tcMar>
              <w:top w:type="dxa" w:w="48"/>
              <w:left w:type="dxa" w:w="80"/>
              <w:bottom w:type="dxa" w:w="48"/>
              <w:right w:type="dxa" w:w="80"/>
            </w:tcMar>
          </w:tcPr>
          <w:p>
            <w:pPr>
              <w:jc w:val="center"/>
            </w:pPr>
            <w:r>
              <w:rPr>
                <w:b w:val="false"/>
                <w:bCs w:val="false"/>
                <w:sz w:val="15"/>
                <w:szCs w:val="15"/>
              </w:rPr>
              <w:t xml:space="preserve">80,62 %</w:t>
            </w:r>
          </w:p>
        </w:tc>
        <w:tc>
          <w:tcPr>
            <w:tcW w:type="dxa" w:w="1300"/>
            <w:tcMar>
              <w:top w:type="dxa" w:w="48"/>
              <w:left w:type="dxa" w:w="80"/>
              <w:bottom w:type="dxa" w:w="48"/>
              <w:right w:type="dxa" w:w="80"/>
            </w:tcMar>
          </w:tcPr>
          <w:p>
            <w:pPr>
              <w:jc w:val="center"/>
            </w:pPr>
            <w:r>
              <w:rPr>
                <w:b w:val="false"/>
                <w:bCs w:val="false"/>
                <w:sz w:val="15"/>
                <w:szCs w:val="15"/>
              </w:rPr>
              <w:t xml:space="preserve">90,14 %</w:t>
            </w:r>
          </w:p>
        </w:tc>
        <w:tc>
          <w:tcPr>
            <w:tcW w:type="dxa" w:w="1300"/>
            <w:tcMar>
              <w:top w:type="dxa" w:w="48"/>
              <w:left w:type="dxa" w:w="80"/>
              <w:bottom w:type="dxa" w:w="48"/>
              <w:right w:type="dxa" w:w="80"/>
            </w:tcMar>
          </w:tcPr>
          <w:p>
            <w:pPr>
              <w:jc w:val="center"/>
            </w:pPr>
            <w:r>
              <w:rPr>
                <w:b w:val="false"/>
                <w:bCs w:val="false"/>
                <w:sz w:val="15"/>
                <w:szCs w:val="15"/>
              </w:rPr>
              <w:t xml:space="preserve">95,34 %</w:t>
            </w:r>
          </w:p>
        </w:tc>
      </w:tr>
      <w:tr>
        <w:tc>
          <w:tcPr>
            <w:tcW w:type="dxa" w:w="1500"/>
            <w:tcMar>
              <w:top w:type="dxa" w:w="48"/>
              <w:left w:type="dxa" w:w="80"/>
              <w:bottom w:type="dxa" w:w="48"/>
              <w:right w:type="dxa" w:w="80"/>
            </w:tcMar>
          </w:tcPr>
          <w:p>
            <w:pPr>
              <w:jc w:val="center"/>
            </w:pPr>
            <w:r>
              <w:rPr>
                <w:b w:val="false"/>
                <w:bCs w:val="false"/>
                <w:sz w:val="15"/>
                <w:szCs w:val="15"/>
              </w:rPr>
              <w:t xml:space="preserve">31–40</w:t>
            </w:r>
          </w:p>
        </w:tc>
        <w:tc>
          <w:tcPr>
            <w:tcW w:type="dxa" w:w="1300"/>
            <w:tcMar>
              <w:top w:type="dxa" w:w="48"/>
              <w:left w:type="dxa" w:w="80"/>
              <w:bottom w:type="dxa" w:w="48"/>
              <w:right w:type="dxa" w:w="80"/>
            </w:tcMar>
          </w:tcPr>
          <w:p>
            <w:pPr>
              <w:jc w:val="center"/>
            </w:pPr>
            <w:r>
              <w:rPr>
                <w:b w:val="false"/>
                <w:bCs w:val="false"/>
                <w:sz w:val="15"/>
                <w:szCs w:val="15"/>
              </w:rPr>
              <w:t xml:space="preserve">32,64 %</w:t>
            </w:r>
          </w:p>
        </w:tc>
        <w:tc>
          <w:tcPr>
            <w:tcW w:type="dxa" w:w="1300"/>
            <w:tcMar>
              <w:top w:type="dxa" w:w="48"/>
              <w:left w:type="dxa" w:w="80"/>
              <w:bottom w:type="dxa" w:w="48"/>
              <w:right w:type="dxa" w:w="80"/>
            </w:tcMar>
          </w:tcPr>
          <w:p>
            <w:pPr>
              <w:jc w:val="center"/>
            </w:pPr>
            <w:r>
              <w:rPr>
                <w:b w:val="false"/>
                <w:bCs w:val="false"/>
                <w:sz w:val="15"/>
                <w:szCs w:val="15"/>
              </w:rPr>
              <w:t xml:space="preserve">51,79 %</w:t>
            </w:r>
          </w:p>
        </w:tc>
        <w:tc>
          <w:tcPr>
            <w:tcW w:type="dxa" w:w="1300"/>
            <w:tcMar>
              <w:top w:type="dxa" w:w="48"/>
              <w:left w:type="dxa" w:w="80"/>
              <w:bottom w:type="dxa" w:w="48"/>
              <w:right w:type="dxa" w:w="80"/>
            </w:tcMar>
          </w:tcPr>
          <w:p>
            <w:pPr>
              <w:jc w:val="center"/>
            </w:pPr>
            <w:r>
              <w:rPr>
                <w:b w:val="false"/>
                <w:bCs w:val="false"/>
                <w:sz w:val="15"/>
                <w:szCs w:val="15"/>
              </w:rPr>
              <w:t xml:space="preserve">80,17 %</w:t>
            </w:r>
          </w:p>
        </w:tc>
        <w:tc>
          <w:tcPr>
            <w:tcW w:type="dxa" w:w="1300"/>
            <w:tcMar>
              <w:top w:type="dxa" w:w="48"/>
              <w:left w:type="dxa" w:w="80"/>
              <w:bottom w:type="dxa" w:w="48"/>
              <w:right w:type="dxa" w:w="80"/>
            </w:tcMar>
          </w:tcPr>
          <w:p>
            <w:pPr>
              <w:jc w:val="center"/>
            </w:pPr>
            <w:r>
              <w:rPr>
                <w:b w:val="false"/>
                <w:bCs w:val="false"/>
                <w:sz w:val="15"/>
                <w:szCs w:val="15"/>
              </w:rPr>
              <w:t xml:space="preserve">90,03 %</w:t>
            </w:r>
          </w:p>
        </w:tc>
        <w:tc>
          <w:tcPr>
            <w:tcW w:type="dxa" w:w="1300"/>
            <w:tcMar>
              <w:top w:type="dxa" w:w="48"/>
              <w:left w:type="dxa" w:w="80"/>
              <w:bottom w:type="dxa" w:w="48"/>
              <w:right w:type="dxa" w:w="80"/>
            </w:tcMar>
          </w:tcPr>
          <w:p>
            <w:pPr>
              <w:jc w:val="center"/>
            </w:pPr>
            <w:r>
              <w:rPr>
                <w:b w:val="false"/>
                <w:bCs w:val="false"/>
                <w:sz w:val="15"/>
                <w:szCs w:val="15"/>
              </w:rPr>
              <w:t xml:space="preserve">95,47 %</w:t>
            </w:r>
          </w:p>
        </w:tc>
      </w:tr>
    </w:tbl>
    <w:p>
      <w:pPr>
        <w:spacing w:after="160"/>
      </w:pPr>
    </w:p>
    <w:p>
      <w:pPr>
        <w:spacing w:after="120"/>
      </w:pPr>
      <w:r>
        <w:t xml:space="preserve">Cinco de cinco niveles dentro de tolerancia en los cuatro bloques. En el bloque final, el más profundo del rango explorado, la cobertura del nivel 0,95 es de 95,47 % y la del 0,90 de 90,03 %: la calibración no solo se sostiene, sino que no muestra tendencia alguna a degradarse.</w:t>
      </w:r>
    </w:p>
    <w:p>
      <w:pPr>
        <w:spacing w:after="120"/>
      </w:pPr>
      <w:r>
        <w:rPr>
          <w:b/>
          <w:bCs/>
        </w:rPr>
        <w:t xml:space="preserve">La lectura que esto habilita. </w:t>
      </w:r>
      <w:r>
        <w:t xml:space="preserve">A cuarenta snapshots las regiones conformales siguen siendo válidas en el sentido de la cobertura: contienen la trayectoria real con la frecuencia nominal. Lo que se pierde en el horizonte largo no es la validez sino el régimen geométrico que hacía informativas a esas regiones. Es exactamente la distinción que la literatura de predicción conformal obliga a separar: la validez de cobertura no equivale a la utilidad geométrica ni a la informatividad operacional. Esta etapa la midió en lugar de suponerla. Se hace constar que la § 1 del prerregistro atribuye esa anticipación a la literatura de predicción conformal equivariante; esa atribución no figura entre las obras verificadas de la LIT-00 y debe contrastarse contra ella antes de cualquier uso publicado.</w:t>
      </w:r>
    </w:p>
    <w:p>
      <w:pPr>
        <w:pStyle w:val="Heading1"/>
        <w:spacing w:after="140" w:before="280"/>
      </w:pPr>
      <w:r>
        <w:t xml:space="preserve">6. Agudeza: lo absoluto y lo relativo</w:t>
      </w:r>
    </w:p>
    <w:p>
      <w:pPr>
        <w:spacing w:after="120"/>
      </w:pPr>
      <w:r>
        <w:t xml:space="preserve">El radio conformal al nivel 0,95 crece de 0,00115 en el primer snapshot a 0,65052 en el cuarenta: un factor de 567. En términos absolutos, la región del final del rango queda fuera del régimen informativo que esta etapa define, y difícilmente resultaría utilizable sin un criterio de tolerancia propio de la aplicación.</w:t>
      </w:r>
    </w:p>
    <w:p>
      <w:pPr>
        <w:spacing w:after="120"/>
      </w:pPr>
      <w:r>
        <w:t xml:space="preserve">El cociente entre ese radio y el de la envolvente del ensemble, en cambio, pasa de 0,0753 a 0,1437: un factor de 1,9 sobre todo el rango. El instrumento sigue el desplegamiento del sistema con fidelidad relativa notable; la región crece porque el sistema se dispersa, no porque el método se infle.</w:t>
      </w:r>
    </w:p>
    <w:p>
      <w:pPr>
        <w:spacing w:after="120"/>
      </w:pPr>
      <w:r>
        <w:rPr>
          <w:b/>
          <w:bCs/>
        </w:rPr>
        <w:t xml:space="preserve">La decisión de declarar esta magnitud instrumental resultó correcta. </w:t>
      </w:r>
      <w:r>
        <w:t xml:space="preserve">Su único umbral natural es la unidad —una región más ancha que la propia envolvente del ensemble habría dejado de aportar sobre el simple enunciado de la dispersión— y los valores observados no llegan a la séptima parte de ese valor al final del rango. Un criterio vinculante con ese umbral habría sido decorativo, que es el defecto que el programa viene corrigiendo desde v7.7-b.</w:t>
      </w:r>
    </w:p>
    <w:p>
      <w:pPr>
        <w:spacing w:after="120"/>
      </w:pPr>
      <w:r>
        <w:t xml:space="preserve">Las dos magnitudes juntas dan la caracterización operativa completa: hasta el snapshot 25 el instrumento opera en su régimen informativo; más allá, sigue siendo válido pero deja de ser compresible en dos dimensiones, y su región absoluta crece hasta magnitudes que una aplicación tendría que evaluar con su propio criterio de utilidad.</w:t>
      </w:r>
    </w:p>
    <w:p>
      <w:pPr>
        <w:pStyle w:val="Heading1"/>
        <w:spacing w:after="140" w:before="280"/>
      </w:pPr>
      <w:r>
        <w:t xml:space="preserve">7. Contraste con la predicción prerregistrada</w:t>
      </w:r>
    </w:p>
    <w:p>
      <w:pPr>
        <w:spacing w:after="120"/>
      </w:pPr>
      <w:r>
        <w:t xml:space="preserve">La condición C11-c del Acta 02 obliga a contrastar la predicción de la § 3.6 del prerregistro, acierte o falle. La predicción suponía que las tasas geométricas de crecimiento medidas en el horizonte de referencia se mantendrían.</w:t>
      </w:r>
    </w:p>
    <w:p>
      <w:pPr>
        <w:spacing w:after="160"/>
      </w:pP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1600"/>
        <w:gridCol w:w="1500"/>
      </w:tblGrid>
      <w:tr>
        <w:tc>
          <w:tcPr>
            <w:tcW w:type="dxa" w:w="1400"/>
            <w:shd w:fill="E8E8E8" w:val="clear"/>
            <w:tcMar>
              <w:top w:type="dxa" w:w="48"/>
              <w:left w:type="dxa" w:w="80"/>
              <w:bottom w:type="dxa" w:w="48"/>
              <w:right w:type="dxa" w:w="80"/>
            </w:tcMar>
          </w:tcPr>
          <w:p>
            <w:pPr>
              <w:jc w:val="center"/>
            </w:pPr>
            <w:r>
              <w:rPr>
                <w:b/>
                <w:bCs/>
                <w:sz w:val="15"/>
                <w:szCs w:val="15"/>
              </w:rPr>
              <w:t xml:space="preserve">Snapshot</w:t>
            </w:r>
          </w:p>
        </w:tc>
        <w:tc>
          <w:tcPr>
            <w:tcW w:type="dxa" w:w="1600"/>
            <w:shd w:fill="E8E8E8" w:val="clear"/>
            <w:tcMar>
              <w:top w:type="dxa" w:w="48"/>
              <w:left w:type="dxa" w:w="80"/>
              <w:bottom w:type="dxa" w:w="48"/>
              <w:right w:type="dxa" w:w="80"/>
            </w:tcMar>
          </w:tcPr>
          <w:p>
            <w:pPr>
              <w:jc w:val="center"/>
            </w:pPr>
            <w:r>
              <w:rPr>
                <w:b/>
                <w:bCs/>
                <w:sz w:val="15"/>
                <w:szCs w:val="15"/>
              </w:rPr>
              <w:t xml:space="preserve">d_eff_raw pred.</w:t>
            </w:r>
          </w:p>
        </w:tc>
        <w:tc>
          <w:tcPr>
            <w:tcW w:type="dxa" w:w="1400"/>
            <w:shd w:fill="E8E8E8" w:val="clear"/>
            <w:tcMar>
              <w:top w:type="dxa" w:w="48"/>
              <w:left w:type="dxa" w:w="80"/>
              <w:bottom w:type="dxa" w:w="48"/>
              <w:right w:type="dxa" w:w="80"/>
            </w:tcMar>
          </w:tcPr>
          <w:p>
            <w:pPr>
              <w:jc w:val="center"/>
            </w:pPr>
            <w:r>
              <w:rPr>
                <w:b/>
                <w:bCs/>
                <w:sz w:val="15"/>
                <w:szCs w:val="15"/>
              </w:rPr>
              <w:t xml:space="preserve">observado</w:t>
            </w:r>
          </w:p>
        </w:tc>
        <w:tc>
          <w:tcPr>
            <w:tcW w:type="dxa" w:w="1600"/>
            <w:shd w:fill="E8E8E8" w:val="clear"/>
            <w:tcMar>
              <w:top w:type="dxa" w:w="48"/>
              <w:left w:type="dxa" w:w="80"/>
              <w:bottom w:type="dxa" w:w="48"/>
              <w:right w:type="dxa" w:w="80"/>
            </w:tcMar>
          </w:tcPr>
          <w:p>
            <w:pPr>
              <w:jc w:val="center"/>
            </w:pPr>
            <w:r>
              <w:rPr>
                <w:b/>
                <w:bCs/>
                <w:sz w:val="15"/>
                <w:szCs w:val="15"/>
              </w:rPr>
              <w:t xml:space="preserve">τ/radio pred.</w:t>
            </w:r>
          </w:p>
        </w:tc>
        <w:tc>
          <w:tcPr>
            <w:tcW w:type="dxa" w:w="1500"/>
            <w:shd w:fill="E8E8E8" w:val="clear"/>
            <w:tcMar>
              <w:top w:type="dxa" w:w="48"/>
              <w:left w:type="dxa" w:w="80"/>
              <w:bottom w:type="dxa" w:w="48"/>
              <w:right w:type="dxa" w:w="80"/>
            </w:tcMar>
          </w:tcPr>
          <w:p>
            <w:pPr>
              <w:jc w:val="center"/>
            </w:pPr>
            <w:r>
              <w:rPr>
                <w:b/>
                <w:bCs/>
                <w:sz w:val="15"/>
                <w:szCs w:val="15"/>
              </w:rPr>
              <w:t xml:space="preserve">observado</w:t>
            </w:r>
          </w:p>
        </w:tc>
      </w:tr>
      <w:tr>
        <w:tc>
          <w:tcPr>
            <w:tcW w:type="dxa" w:w="1400"/>
            <w:tcMar>
              <w:top w:type="dxa" w:w="48"/>
              <w:left w:type="dxa" w:w="80"/>
              <w:bottom w:type="dxa" w:w="48"/>
              <w:right w:type="dxa" w:w="80"/>
            </w:tcMar>
          </w:tcPr>
          <w:p>
            <w:pPr>
              <w:jc w:val="center"/>
            </w:pPr>
            <w:r>
              <w:rPr>
                <w:b w:val="false"/>
                <w:bCs w:val="false"/>
                <w:sz w:val="15"/>
                <w:szCs w:val="15"/>
              </w:rPr>
              <w:t xml:space="preserve">10</w:t>
            </w:r>
          </w:p>
        </w:tc>
        <w:tc>
          <w:tcPr>
            <w:tcW w:type="dxa" w:w="1600"/>
            <w:tcMar>
              <w:top w:type="dxa" w:w="48"/>
              <w:left w:type="dxa" w:w="80"/>
              <w:bottom w:type="dxa" w:w="48"/>
              <w:right w:type="dxa" w:w="80"/>
            </w:tcMar>
          </w:tcPr>
          <w:p>
            <w:pPr>
              <w:jc w:val="center"/>
            </w:pPr>
            <w:r>
              <w:rPr>
                <w:b w:val="false"/>
                <w:bCs w:val="false"/>
                <w:sz w:val="15"/>
                <w:szCs w:val="15"/>
              </w:rPr>
              <w:t xml:space="preserve">2,38</w:t>
            </w:r>
          </w:p>
        </w:tc>
        <w:tc>
          <w:tcPr>
            <w:tcW w:type="dxa" w:w="1400"/>
            <w:tcMar>
              <w:top w:type="dxa" w:w="48"/>
              <w:left w:type="dxa" w:w="80"/>
              <w:bottom w:type="dxa" w:w="48"/>
              <w:right w:type="dxa" w:w="80"/>
            </w:tcMar>
          </w:tcPr>
          <w:p>
            <w:pPr>
              <w:jc w:val="center"/>
            </w:pPr>
            <w:r>
              <w:rPr>
                <w:b w:val="false"/>
                <w:bCs w:val="false"/>
                <w:sz w:val="15"/>
                <w:szCs w:val="15"/>
              </w:rPr>
              <w:t xml:space="preserve">2,38</w:t>
            </w:r>
          </w:p>
        </w:tc>
        <w:tc>
          <w:tcPr>
            <w:tcW w:type="dxa" w:w="1600"/>
            <w:tcMar>
              <w:top w:type="dxa" w:w="48"/>
              <w:left w:type="dxa" w:w="80"/>
              <w:bottom w:type="dxa" w:w="48"/>
              <w:right w:type="dxa" w:w="80"/>
            </w:tcMar>
          </w:tcPr>
          <w:p>
            <w:pPr>
              <w:jc w:val="center"/>
            </w:pPr>
            <w:r>
              <w:rPr>
                <w:b w:val="false"/>
                <w:bCs w:val="false"/>
                <w:sz w:val="15"/>
                <w:szCs w:val="15"/>
              </w:rPr>
              <w:t xml:space="preserve">0,0857</w:t>
            </w:r>
          </w:p>
        </w:tc>
        <w:tc>
          <w:tcPr>
            <w:tcW w:type="dxa" w:w="1500"/>
            <w:tcMar>
              <w:top w:type="dxa" w:w="48"/>
              <w:left w:type="dxa" w:w="80"/>
              <w:bottom w:type="dxa" w:w="48"/>
              <w:right w:type="dxa" w:w="80"/>
            </w:tcMar>
          </w:tcPr>
          <w:p>
            <w:pPr>
              <w:jc w:val="center"/>
            </w:pPr>
            <w:r>
              <w:rPr>
                <w:b w:val="false"/>
                <w:bCs w:val="false"/>
                <w:sz w:val="15"/>
                <w:szCs w:val="15"/>
              </w:rPr>
              <w:t xml:space="preserve">0,0940</w:t>
            </w:r>
          </w:p>
        </w:tc>
      </w:tr>
      <w:tr>
        <w:tc>
          <w:tcPr>
            <w:tcW w:type="dxa" w:w="1400"/>
            <w:tcMar>
              <w:top w:type="dxa" w:w="48"/>
              <w:left w:type="dxa" w:w="80"/>
              <w:bottom w:type="dxa" w:w="48"/>
              <w:right w:type="dxa" w:w="80"/>
            </w:tcMar>
          </w:tcPr>
          <w:p>
            <w:pPr>
              <w:jc w:val="center"/>
            </w:pPr>
            <w:r>
              <w:rPr>
                <w:b w:val="false"/>
                <w:bCs w:val="false"/>
                <w:sz w:val="15"/>
                <w:szCs w:val="15"/>
              </w:rPr>
              <w:t xml:space="preserve">20</w:t>
            </w:r>
          </w:p>
        </w:tc>
        <w:tc>
          <w:tcPr>
            <w:tcW w:type="dxa" w:w="1600"/>
            <w:tcMar>
              <w:top w:type="dxa" w:w="48"/>
              <w:left w:type="dxa" w:w="80"/>
              <w:bottom w:type="dxa" w:w="48"/>
              <w:right w:type="dxa" w:w="80"/>
            </w:tcMar>
          </w:tcPr>
          <w:p>
            <w:pPr>
              <w:jc w:val="center"/>
            </w:pPr>
            <w:r>
              <w:rPr>
                <w:b w:val="false"/>
                <w:bCs w:val="false"/>
                <w:sz w:val="15"/>
                <w:szCs w:val="15"/>
              </w:rPr>
              <w:t xml:space="preserve">3,47</w:t>
            </w:r>
          </w:p>
        </w:tc>
        <w:tc>
          <w:tcPr>
            <w:tcW w:type="dxa" w:w="1400"/>
            <w:tcMar>
              <w:top w:type="dxa" w:w="48"/>
              <w:left w:type="dxa" w:w="80"/>
              <w:bottom w:type="dxa" w:w="48"/>
              <w:right w:type="dxa" w:w="80"/>
            </w:tcMar>
          </w:tcPr>
          <w:p>
            <w:pPr>
              <w:jc w:val="center"/>
            </w:pPr>
            <w:r>
              <w:rPr>
                <w:b w:val="false"/>
                <w:bCs w:val="false"/>
                <w:sz w:val="15"/>
                <w:szCs w:val="15"/>
              </w:rPr>
              <w:t xml:space="preserve">2,82</w:t>
            </w:r>
          </w:p>
        </w:tc>
        <w:tc>
          <w:tcPr>
            <w:tcW w:type="dxa" w:w="1600"/>
            <w:tcMar>
              <w:top w:type="dxa" w:w="48"/>
              <w:left w:type="dxa" w:w="80"/>
              <w:bottom w:type="dxa" w:w="48"/>
              <w:right w:type="dxa" w:w="80"/>
            </w:tcMar>
          </w:tcPr>
          <w:p>
            <w:pPr>
              <w:jc w:val="center"/>
            </w:pPr>
            <w:r>
              <w:rPr>
                <w:b w:val="false"/>
                <w:bCs w:val="false"/>
                <w:sz w:val="15"/>
                <w:szCs w:val="15"/>
              </w:rPr>
              <w:t xml:space="preserve">0,1070</w:t>
            </w:r>
          </w:p>
        </w:tc>
        <w:tc>
          <w:tcPr>
            <w:tcW w:type="dxa" w:w="1500"/>
            <w:tcMar>
              <w:top w:type="dxa" w:w="48"/>
              <w:left w:type="dxa" w:w="80"/>
              <w:bottom w:type="dxa" w:w="48"/>
              <w:right w:type="dxa" w:w="80"/>
            </w:tcMar>
          </w:tcPr>
          <w:p>
            <w:pPr>
              <w:jc w:val="center"/>
            </w:pPr>
            <w:r>
              <w:rPr>
                <w:b w:val="false"/>
                <w:bCs w:val="false"/>
                <w:sz w:val="15"/>
                <w:szCs w:val="15"/>
              </w:rPr>
              <w:t xml:space="preserve">0,1045</w:t>
            </w:r>
          </w:p>
        </w:tc>
      </w:tr>
      <w:tr>
        <w:tc>
          <w:tcPr>
            <w:tcW w:type="dxa" w:w="1400"/>
            <w:tcMar>
              <w:top w:type="dxa" w:w="48"/>
              <w:left w:type="dxa" w:w="80"/>
              <w:bottom w:type="dxa" w:w="48"/>
              <w:right w:type="dxa" w:w="80"/>
            </w:tcMar>
          </w:tcPr>
          <w:p>
            <w:pPr>
              <w:jc w:val="center"/>
            </w:pPr>
            <w:r>
              <w:rPr>
                <w:b w:val="false"/>
                <w:bCs w:val="false"/>
                <w:sz w:val="15"/>
                <w:szCs w:val="15"/>
              </w:rPr>
              <w:t xml:space="preserve">40</w:t>
            </w:r>
          </w:p>
        </w:tc>
        <w:tc>
          <w:tcPr>
            <w:tcW w:type="dxa" w:w="1600"/>
            <w:tcMar>
              <w:top w:type="dxa" w:w="48"/>
              <w:left w:type="dxa" w:w="80"/>
              <w:bottom w:type="dxa" w:w="48"/>
              <w:right w:type="dxa" w:w="80"/>
            </w:tcMar>
          </w:tcPr>
          <w:p>
            <w:pPr>
              <w:jc w:val="center"/>
            </w:pPr>
            <w:r>
              <w:rPr>
                <w:b w:val="false"/>
                <w:bCs w:val="false"/>
                <w:sz w:val="15"/>
                <w:szCs w:val="15"/>
              </w:rPr>
              <w:t xml:space="preserve">7,35</w:t>
            </w:r>
          </w:p>
        </w:tc>
        <w:tc>
          <w:tcPr>
            <w:tcW w:type="dxa" w:w="1400"/>
            <w:tcMar>
              <w:top w:type="dxa" w:w="48"/>
              <w:left w:type="dxa" w:w="80"/>
              <w:bottom w:type="dxa" w:w="48"/>
              <w:right w:type="dxa" w:w="80"/>
            </w:tcMar>
          </w:tcPr>
          <w:p>
            <w:pPr>
              <w:jc w:val="center"/>
            </w:pPr>
            <w:r>
              <w:rPr>
                <w:b w:val="false"/>
                <w:bCs w:val="false"/>
                <w:sz w:val="15"/>
                <w:szCs w:val="15"/>
              </w:rPr>
              <w:t xml:space="preserve">3,20</w:t>
            </w:r>
          </w:p>
        </w:tc>
        <w:tc>
          <w:tcPr>
            <w:tcW w:type="dxa" w:w="1600"/>
            <w:tcMar>
              <w:top w:type="dxa" w:w="48"/>
              <w:left w:type="dxa" w:w="80"/>
              <w:bottom w:type="dxa" w:w="48"/>
              <w:right w:type="dxa" w:w="80"/>
            </w:tcMar>
          </w:tcPr>
          <w:p>
            <w:pPr>
              <w:jc w:val="center"/>
            </w:pPr>
            <w:r>
              <w:rPr>
                <w:b w:val="false"/>
                <w:bCs w:val="false"/>
                <w:sz w:val="15"/>
                <w:szCs w:val="15"/>
              </w:rPr>
              <w:t xml:space="preserve">0,1650</w:t>
            </w:r>
          </w:p>
        </w:tc>
        <w:tc>
          <w:tcPr>
            <w:tcW w:type="dxa" w:w="1500"/>
            <w:tcMar>
              <w:top w:type="dxa" w:w="48"/>
              <w:left w:type="dxa" w:w="80"/>
              <w:bottom w:type="dxa" w:w="48"/>
              <w:right w:type="dxa" w:w="80"/>
            </w:tcMar>
          </w:tcPr>
          <w:p>
            <w:pPr>
              <w:jc w:val="center"/>
            </w:pPr>
            <w:r>
              <w:rPr>
                <w:b w:val="false"/>
                <w:bCs w:val="false"/>
                <w:sz w:val="15"/>
                <w:szCs w:val="15"/>
              </w:rPr>
              <w:t xml:space="preserve">0,1437</w:t>
            </w:r>
          </w:p>
        </w:tc>
      </w:tr>
    </w:tbl>
    <w:p>
      <w:pPr>
        <w:spacing w:after="160"/>
      </w:pPr>
    </w:p>
    <w:p>
      <w:pPr>
        <w:spacing w:after="120"/>
      </w:pPr>
      <w:r>
        <w:rPr>
          <w:b/>
          <w:bCs/>
        </w:rPr>
        <w:t xml:space="preserve">La predicción falló, y falló por exceso. </w:t>
      </w:r>
      <w:r>
        <w:t xml:space="preserve">El crecimiento de la dimensión efectiva no se mantuvo geométrico: se desaceleró de forma marcada. En el primer punto de contraste la extrapolación fue casi exacta; en el segundo se desvió un 23 %; en el tercero sobreestimó en más del doble. El cociente entre radio y envolvente muestra el mismo patrón, aunque más leve: 0,0940 observado contra 0,0857 predicho a diez snapshots, y 0,1437 contra 0,165 a cuarenta.</w:t>
      </w:r>
    </w:p>
    <w:p>
      <w:pPr>
        <w:spacing w:after="120"/>
      </w:pPr>
      <w:r>
        <w:rPr>
          <w:b/>
          <w:bCs/>
        </w:rPr>
        <w:t xml:space="preserve">Qué significa que se haya desacelerado. </w:t>
      </w:r>
      <w:r>
        <w:t xml:space="preserve">La condición de la predicción estaba declarada: suponía tasa constante y nada garantizaba que se mantuviera. Que el crecimiento se aplane indica que la pérdida de compresibilidad satura en lugar de acelerarse, y que el instrumento tiene un régimen estable más amplio de lo que la extrapolación lineal sugería. Es información sobre la dinámica del sistema y no solo sobre el instrumento, que era exactamente el motivo de registrar la predicción por anticipado.</w:t>
      </w:r>
    </w:p>
    <w:p>
      <w:pPr>
        <w:spacing w:after="120"/>
      </w:pPr>
      <w:r>
        <w:t xml:space="preserve">Se hace constar que el fallo de esta predicción no altera el veredicto de escenario, conforme al prerregistro, y que su registro previo es lo que permite afirmar que la desaceleración es un hallazgo y no una racionalización posterior.</w:t>
      </w:r>
    </w:p>
    <w:p>
      <w:pPr>
        <w:pStyle w:val="Heading1"/>
        <w:spacing w:after="140" w:before="280"/>
      </w:pPr>
      <w:r>
        <w:t xml:space="preserve">8. Análisis secundario: la inversión por subconjunto</w:t>
      </w:r>
    </w:p>
    <w:p>
      <w:pPr>
        <w:spacing w:after="120"/>
      </w:pPr>
      <w:r>
        <w:t xml:space="preserve">El análisis secundario prerregistrado comparaba la tasa de crecimiento de la dimensión efectiva entre los tres subconjuntos del dataset. El diagnóstico previo había registrado que el OOD cercano mostraba el mayor crecimiento del radio. El resultado a cuarenta snapshots invierte lo que la intuición sugeriría.</w:t>
      </w:r>
    </w:p>
    <w:p>
      <w:pPr>
        <w:spacing w:after="160"/>
      </w:pP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800"/>
        <w:gridCol w:w="1450"/>
        <w:gridCol w:w="1450"/>
        <w:gridCol w:w="1450"/>
        <w:gridCol w:w="1450"/>
      </w:tblGrid>
      <w:tr>
        <w:tc>
          <w:tcPr>
            <w:tcW w:type="dxa" w:w="1800"/>
            <w:shd w:fill="E8E8E8" w:val="clear"/>
            <w:tcMar>
              <w:top w:type="dxa" w:w="48"/>
              <w:left w:type="dxa" w:w="80"/>
              <w:bottom w:type="dxa" w:w="48"/>
              <w:right w:type="dxa" w:w="80"/>
            </w:tcMar>
          </w:tcPr>
          <w:p>
            <w:pPr>
              <w:jc w:val="center"/>
            </w:pPr>
            <w:r>
              <w:rPr>
                <w:b/>
                <w:bCs/>
                <w:sz w:val="15"/>
                <w:szCs w:val="15"/>
              </w:rPr>
              <w:t xml:space="preserve">Subconjunto</w:t>
            </w:r>
          </w:p>
        </w:tc>
        <w:tc>
          <w:tcPr>
            <w:tcW w:type="dxa" w:w="1450"/>
            <w:shd w:fill="E8E8E8" w:val="clear"/>
            <w:tcMar>
              <w:top w:type="dxa" w:w="48"/>
              <w:left w:type="dxa" w:w="80"/>
              <w:bottom w:type="dxa" w:w="48"/>
              <w:right w:type="dxa" w:w="80"/>
            </w:tcMar>
          </w:tcPr>
          <w:p>
            <w:pPr>
              <w:jc w:val="center"/>
            </w:pPr>
            <w:r>
              <w:rPr>
                <w:b/>
                <w:bCs/>
                <w:sz w:val="15"/>
                <w:szCs w:val="15"/>
              </w:rPr>
              <w:t xml:space="preserve">s1</w:t>
            </w:r>
          </w:p>
        </w:tc>
        <w:tc>
          <w:tcPr>
            <w:tcW w:type="dxa" w:w="1450"/>
            <w:shd w:fill="E8E8E8" w:val="clear"/>
            <w:tcMar>
              <w:top w:type="dxa" w:w="48"/>
              <w:left w:type="dxa" w:w="80"/>
              <w:bottom w:type="dxa" w:w="48"/>
              <w:right w:type="dxa" w:w="80"/>
            </w:tcMar>
          </w:tcPr>
          <w:p>
            <w:pPr>
              <w:jc w:val="center"/>
            </w:pPr>
            <w:r>
              <w:rPr>
                <w:b/>
                <w:bCs/>
                <w:sz w:val="15"/>
                <w:szCs w:val="15"/>
              </w:rPr>
              <w:t xml:space="preserve">s10</w:t>
            </w:r>
          </w:p>
        </w:tc>
        <w:tc>
          <w:tcPr>
            <w:tcW w:type="dxa" w:w="1450"/>
            <w:shd w:fill="E8E8E8" w:val="clear"/>
            <w:tcMar>
              <w:top w:type="dxa" w:w="48"/>
              <w:left w:type="dxa" w:w="80"/>
              <w:bottom w:type="dxa" w:w="48"/>
              <w:right w:type="dxa" w:w="80"/>
            </w:tcMar>
          </w:tcPr>
          <w:p>
            <w:pPr>
              <w:jc w:val="center"/>
            </w:pPr>
            <w:r>
              <w:rPr>
                <w:b/>
                <w:bCs/>
                <w:sz w:val="15"/>
                <w:szCs w:val="15"/>
              </w:rPr>
              <w:t xml:space="preserve">s20</w:t>
            </w:r>
          </w:p>
        </w:tc>
        <w:tc>
          <w:tcPr>
            <w:tcW w:type="dxa" w:w="1450"/>
            <w:shd w:fill="E8E8E8" w:val="clear"/>
            <w:tcMar>
              <w:top w:type="dxa" w:w="48"/>
              <w:left w:type="dxa" w:w="80"/>
              <w:bottom w:type="dxa" w:w="48"/>
              <w:right w:type="dxa" w:w="80"/>
            </w:tcMar>
          </w:tcPr>
          <w:p>
            <w:pPr>
              <w:jc w:val="center"/>
            </w:pPr>
            <w:r>
              <w:rPr>
                <w:b/>
                <w:bCs/>
                <w:sz w:val="15"/>
                <w:szCs w:val="15"/>
              </w:rPr>
              <w:t xml:space="preserve">s40</w:t>
            </w:r>
          </w:p>
        </w:tc>
      </w:tr>
      <w:tr>
        <w:tc>
          <w:tcPr>
            <w:tcW w:type="dxa" w:w="1800"/>
            <w:tcMar>
              <w:top w:type="dxa" w:w="48"/>
              <w:left w:type="dxa" w:w="80"/>
              <w:bottom w:type="dxa" w:w="48"/>
              <w:right w:type="dxa" w:w="80"/>
            </w:tcMar>
          </w:tcPr>
          <w:p>
            <w:pPr>
              <w:jc w:val="center"/>
            </w:pPr>
            <w:r>
              <w:rPr>
                <w:b w:val="false"/>
                <w:bCs w:val="false"/>
                <w:sz w:val="15"/>
                <w:szCs w:val="15"/>
              </w:rPr>
              <w:t xml:space="preserve">In distribution</w:t>
            </w:r>
          </w:p>
        </w:tc>
        <w:tc>
          <w:tcPr>
            <w:tcW w:type="dxa" w:w="1450"/>
            <w:tcMar>
              <w:top w:type="dxa" w:w="48"/>
              <w:left w:type="dxa" w:w="80"/>
              <w:bottom w:type="dxa" w:w="48"/>
              <w:right w:type="dxa" w:w="80"/>
            </w:tcMar>
          </w:tcPr>
          <w:p>
            <w:pPr>
              <w:jc w:val="center"/>
            </w:pPr>
            <w:r>
              <w:rPr>
                <w:b w:val="false"/>
                <w:bCs w:val="false"/>
                <w:sz w:val="15"/>
                <w:szCs w:val="15"/>
              </w:rPr>
              <w:t xml:space="preserve">1,60</w:t>
            </w:r>
          </w:p>
        </w:tc>
        <w:tc>
          <w:tcPr>
            <w:tcW w:type="dxa" w:w="1450"/>
            <w:tcMar>
              <w:top w:type="dxa" w:w="48"/>
              <w:left w:type="dxa" w:w="80"/>
              <w:bottom w:type="dxa" w:w="48"/>
              <w:right w:type="dxa" w:w="80"/>
            </w:tcMar>
          </w:tcPr>
          <w:p>
            <w:pPr>
              <w:jc w:val="center"/>
            </w:pPr>
            <w:r>
              <w:rPr>
                <w:b w:val="false"/>
                <w:bCs w:val="false"/>
                <w:sz w:val="15"/>
                <w:szCs w:val="15"/>
              </w:rPr>
              <w:t xml:space="preserve">2,70</w:t>
            </w:r>
          </w:p>
        </w:tc>
        <w:tc>
          <w:tcPr>
            <w:tcW w:type="dxa" w:w="1450"/>
            <w:tcMar>
              <w:top w:type="dxa" w:w="48"/>
              <w:left w:type="dxa" w:w="80"/>
              <w:bottom w:type="dxa" w:w="48"/>
              <w:right w:type="dxa" w:w="80"/>
            </w:tcMar>
          </w:tcPr>
          <w:p>
            <w:pPr>
              <w:jc w:val="center"/>
            </w:pPr>
            <w:r>
              <w:rPr>
                <w:b w:val="false"/>
                <w:bCs w:val="false"/>
                <w:sz w:val="15"/>
                <w:szCs w:val="15"/>
              </w:rPr>
              <w:t xml:space="preserve">3,15</w:t>
            </w:r>
          </w:p>
        </w:tc>
        <w:tc>
          <w:tcPr>
            <w:tcW w:type="dxa" w:w="1450"/>
            <w:tcMar>
              <w:top w:type="dxa" w:w="48"/>
              <w:left w:type="dxa" w:w="80"/>
              <w:bottom w:type="dxa" w:w="48"/>
              <w:right w:type="dxa" w:w="80"/>
            </w:tcMar>
          </w:tcPr>
          <w:p>
            <w:pPr>
              <w:jc w:val="center"/>
            </w:pPr>
            <w:r>
              <w:rPr>
                <w:b w:val="false"/>
                <w:bCs w:val="false"/>
                <w:sz w:val="15"/>
                <w:szCs w:val="15"/>
              </w:rPr>
              <w:t xml:space="preserve">3,55</w:t>
            </w:r>
          </w:p>
        </w:tc>
      </w:tr>
      <w:tr>
        <w:tc>
          <w:tcPr>
            <w:tcW w:type="dxa" w:w="1800"/>
            <w:tcMar>
              <w:top w:type="dxa" w:w="48"/>
              <w:left w:type="dxa" w:w="80"/>
              <w:bottom w:type="dxa" w:w="48"/>
              <w:right w:type="dxa" w:w="80"/>
            </w:tcMar>
          </w:tcPr>
          <w:p>
            <w:pPr>
              <w:jc w:val="center"/>
            </w:pPr>
            <w:r>
              <w:rPr>
                <w:b w:val="false"/>
                <w:bCs w:val="false"/>
                <w:sz w:val="15"/>
                <w:szCs w:val="15"/>
              </w:rPr>
              <w:t xml:space="preserve">OOD cercano</w:t>
            </w:r>
          </w:p>
        </w:tc>
        <w:tc>
          <w:tcPr>
            <w:tcW w:type="dxa" w:w="1450"/>
            <w:tcMar>
              <w:top w:type="dxa" w:w="48"/>
              <w:left w:type="dxa" w:w="80"/>
              <w:bottom w:type="dxa" w:w="48"/>
              <w:right w:type="dxa" w:w="80"/>
            </w:tcMar>
          </w:tcPr>
          <w:p>
            <w:pPr>
              <w:jc w:val="center"/>
            </w:pPr>
            <w:r>
              <w:rPr>
                <w:b w:val="false"/>
                <w:bCs w:val="false"/>
                <w:sz w:val="15"/>
                <w:szCs w:val="15"/>
              </w:rPr>
              <w:t xml:space="preserve">1,50</w:t>
            </w:r>
          </w:p>
        </w:tc>
        <w:tc>
          <w:tcPr>
            <w:tcW w:type="dxa" w:w="1450"/>
            <w:tcMar>
              <w:top w:type="dxa" w:w="48"/>
              <w:left w:type="dxa" w:w="80"/>
              <w:bottom w:type="dxa" w:w="48"/>
              <w:right w:type="dxa" w:w="80"/>
            </w:tcMar>
          </w:tcPr>
          <w:p>
            <w:pPr>
              <w:jc w:val="center"/>
            </w:pPr>
            <w:r>
              <w:rPr>
                <w:b w:val="false"/>
                <w:bCs w:val="false"/>
                <w:sz w:val="15"/>
                <w:szCs w:val="15"/>
              </w:rPr>
              <w:t xml:space="preserve">2,75</w:t>
            </w:r>
          </w:p>
        </w:tc>
        <w:tc>
          <w:tcPr>
            <w:tcW w:type="dxa" w:w="1450"/>
            <w:tcMar>
              <w:top w:type="dxa" w:w="48"/>
              <w:left w:type="dxa" w:w="80"/>
              <w:bottom w:type="dxa" w:w="48"/>
              <w:right w:type="dxa" w:w="80"/>
            </w:tcMar>
          </w:tcPr>
          <w:p>
            <w:pPr>
              <w:jc w:val="center"/>
            </w:pPr>
            <w:r>
              <w:rPr>
                <w:b w:val="false"/>
                <w:bCs w:val="false"/>
                <w:sz w:val="15"/>
                <w:szCs w:val="15"/>
              </w:rPr>
              <w:t xml:space="preserve">3,15</w:t>
            </w:r>
          </w:p>
        </w:tc>
        <w:tc>
          <w:tcPr>
            <w:tcW w:type="dxa" w:w="1450"/>
            <w:tcMar>
              <w:top w:type="dxa" w:w="48"/>
              <w:left w:type="dxa" w:w="80"/>
              <w:bottom w:type="dxa" w:w="48"/>
              <w:right w:type="dxa" w:w="80"/>
            </w:tcMar>
          </w:tcPr>
          <w:p>
            <w:pPr>
              <w:jc w:val="center"/>
            </w:pPr>
            <w:r>
              <w:rPr>
                <w:b w:val="false"/>
                <w:bCs w:val="false"/>
                <w:sz w:val="15"/>
                <w:szCs w:val="15"/>
              </w:rPr>
              <w:t xml:space="preserve">4,00</w:t>
            </w:r>
          </w:p>
        </w:tc>
      </w:tr>
      <w:tr>
        <w:tc>
          <w:tcPr>
            <w:tcW w:type="dxa" w:w="1800"/>
            <w:tcMar>
              <w:top w:type="dxa" w:w="48"/>
              <w:left w:type="dxa" w:w="80"/>
              <w:bottom w:type="dxa" w:w="48"/>
              <w:right w:type="dxa" w:w="80"/>
            </w:tcMar>
          </w:tcPr>
          <w:p>
            <w:pPr>
              <w:jc w:val="center"/>
            </w:pPr>
            <w:r>
              <w:rPr>
                <w:b w:val="false"/>
                <w:bCs w:val="false"/>
                <w:sz w:val="15"/>
                <w:szCs w:val="15"/>
              </w:rPr>
              <w:t xml:space="preserve">OOD lejano</w:t>
            </w:r>
          </w:p>
        </w:tc>
        <w:tc>
          <w:tcPr>
            <w:tcW w:type="dxa" w:w="1450"/>
            <w:tcMar>
              <w:top w:type="dxa" w:w="48"/>
              <w:left w:type="dxa" w:w="80"/>
              <w:bottom w:type="dxa" w:w="48"/>
              <w:right w:type="dxa" w:w="80"/>
            </w:tcMar>
          </w:tcPr>
          <w:p>
            <w:pPr>
              <w:jc w:val="center"/>
            </w:pPr>
            <w:r>
              <w:rPr>
                <w:b w:val="false"/>
                <w:bCs w:val="false"/>
                <w:sz w:val="15"/>
                <w:szCs w:val="15"/>
              </w:rPr>
              <w:t xml:space="preserve">2,00</w:t>
            </w:r>
          </w:p>
        </w:tc>
        <w:tc>
          <w:tcPr>
            <w:tcW w:type="dxa" w:w="1450"/>
            <w:tcMar>
              <w:top w:type="dxa" w:w="48"/>
              <w:left w:type="dxa" w:w="80"/>
              <w:bottom w:type="dxa" w:w="48"/>
              <w:right w:type="dxa" w:w="80"/>
            </w:tcMar>
          </w:tcPr>
          <w:p>
            <w:pPr>
              <w:jc w:val="center"/>
            </w:pPr>
            <w:r>
              <w:rPr>
                <w:b w:val="false"/>
                <w:bCs w:val="false"/>
                <w:sz w:val="15"/>
                <w:szCs w:val="15"/>
              </w:rPr>
              <w:t xml:space="preserve">1,70</w:t>
            </w:r>
          </w:p>
        </w:tc>
        <w:tc>
          <w:tcPr>
            <w:tcW w:type="dxa" w:w="1450"/>
            <w:tcMar>
              <w:top w:type="dxa" w:w="48"/>
              <w:left w:type="dxa" w:w="80"/>
              <w:bottom w:type="dxa" w:w="48"/>
              <w:right w:type="dxa" w:w="80"/>
            </w:tcMar>
          </w:tcPr>
          <w:p>
            <w:pPr>
              <w:jc w:val="center"/>
            </w:pPr>
            <w:r>
              <w:rPr>
                <w:b w:val="false"/>
                <w:bCs w:val="false"/>
                <w:sz w:val="15"/>
                <w:szCs w:val="15"/>
              </w:rPr>
              <w:t xml:space="preserve">2,15</w:t>
            </w:r>
          </w:p>
        </w:tc>
        <w:tc>
          <w:tcPr>
            <w:tcW w:type="dxa" w:w="1450"/>
            <w:tcMar>
              <w:top w:type="dxa" w:w="48"/>
              <w:left w:type="dxa" w:w="80"/>
              <w:bottom w:type="dxa" w:w="48"/>
              <w:right w:type="dxa" w:w="80"/>
            </w:tcMar>
          </w:tcPr>
          <w:p>
            <w:pPr>
              <w:jc w:val="center"/>
            </w:pPr>
            <w:r>
              <w:rPr>
                <w:b w:val="false"/>
                <w:bCs w:val="false"/>
                <w:sz w:val="15"/>
                <w:szCs w:val="15"/>
              </w:rPr>
              <w:t xml:space="preserve">2,05</w:t>
            </w:r>
          </w:p>
        </w:tc>
      </w:tr>
    </w:tbl>
    <w:p>
      <w:pPr>
        <w:spacing w:after="160"/>
      </w:pPr>
    </w:p>
    <w:p>
      <w:pPr>
        <w:spacing w:after="120"/>
      </w:pPr>
      <w:r>
        <w:rPr>
          <w:b/>
          <w:bCs/>
        </w:rPr>
        <w:t xml:space="preserve">El subconjunto OOD lejano es el más estable dimensionalmente. </w:t>
      </w:r>
      <w:r>
        <w:t xml:space="preserve">Parte del valor más alto en el primer snapshot y termina en el más bajo, prácticamente sin crecimiento neto sobre todo el rango, mientras que el OOD cercano y el conjunto en distribución más que duplican su dimensión efectiva. Una lectura ingenua habría esperado lo contrario: que las configuraciones más alejadas de la distribución de entrenamiento perdieran antes su estructura de baja dimensión.</w:t>
      </w:r>
    </w:p>
    <w:p>
      <w:pPr>
        <w:spacing w:after="120"/>
      </w:pPr>
      <w:r>
        <w:t xml:space="preserve">Una explicación plausible, que este experimento no puede confirmar, es que el OOD lejano incluye la familia de encuentros violentos, donde la dinámica tiende a expulsar un cuerpo y dejar un par ligado: una configuración final más simple y más comprimible que el desorden intermedio de una órbita que se desestabiliza lentamente. Esta etapa registra el hecho; su explicación requiere un experimento propio.</w:t>
      </w:r>
    </w:p>
    <w:p>
      <w:pPr>
        <w:spacing w:after="120"/>
      </w:pPr>
      <w:r>
        <w:t xml:space="preserve">El análisis es exploratorio y no vinculante, conforme al prerregistro, y no participa del veredicto.</w:t>
      </w:r>
    </w:p>
    <w:p>
      <w:pPr>
        <w:pStyle w:val="Heading1"/>
        <w:spacing w:after="140" w:before="280"/>
      </w:pPr>
      <w:r>
        <w:t xml:space="preserve">9. Costo real y la enmienda de persistencia</w:t>
      </w:r>
    </w:p>
    <w:p>
      <w:pPr>
        <w:spacing w:after="120"/>
      </w:pPr>
      <w:r>
        <w:t xml:space="preserve">El cómputo registrado en los checkpoints suma 25,25 horas: 10,53 en el brazo H = 2 y 14,73 en H = 4. El presupuesto prerregistrado estimaba 22,7 horas con rango de 17 a 28, de modo que el resultado quedó dentro del rango declarado y el modelo de costo volvió a acertar.</w:t>
      </w:r>
    </w:p>
    <w:p>
      <w:pPr>
        <w:spacing w:after="120"/>
      </w:pPr>
      <w:r>
        <w:rPr>
          <w:b/>
          <w:bCs/>
        </w:rPr>
        <w:t xml:space="preserve">Ese número es una cota inferior, no el costo real. </w:t>
      </w:r>
      <w:r>
        <w:t xml:space="preserve">Los intentos interrumpidos no dejan registro, y las configuraciones que se completaron recuperando trabajo previo desde la caché contabilizan solo el tramo final. La configuración OOD_FAR_encuentro_violento_01 figura con 2,33 horas cuando su cómputo efectivo fue del orden de nueve, porque sesenta de sus noventa integraciones se recuperaron en quince segundos. El cómputo perdido en reintentos no puede reconstruirse desde los archivos y se estima, sin poder medirlo, en varias decenas de horas.</w:t>
      </w:r>
    </w:p>
    <w:p>
      <w:pPr>
        <w:spacing w:after="120"/>
      </w:pPr>
      <w:r>
        <w:t xml:space="preserve">La concentración volvió a reproducirse: en el brazo H = 4, la familia encuentro_violento consumió 10,18 de las 14,73 horas registradas, un 69,1 %. La configuración más costosa, OOD_FAR_encuentro_violento_00, requirió 6,30 horas por sí sola.</w:t>
      </w:r>
    </w:p>
    <w:p>
      <w:pPr>
        <w:spacing w:after="120"/>
      </w:pPr>
      <w:r>
        <w:rPr>
          <w:b/>
          <w:bCs/>
        </w:rPr>
        <w:t xml:space="preserve">El calendario y el cómputo divergieron por completo. </w:t>
      </w:r>
      <w:r>
        <w:t xml:space="preserve">El brazo H = 4 se lanzó el 17 de septiembre y se completó el 22: seis días de calendario para 14,73 horas registradas de cómputo. La configuración 45, por sí sola, consumió cinco de esos días en intentos de siete, ocho y ocho horas y media que la plataforma interrumpió sin dejar resultado. La causa no era la velocidad del cómputo sino la granularidad del checkpoint: el runner guardaba una configuración solo al terminarla, de modo que cada interrupción descartaba el intento completo.</w:t>
      </w:r>
    </w:p>
    <w:p>
      <w:pPr>
        <w:spacing w:after="120"/>
      </w:pPr>
      <w:r>
        <w:t xml:space="preserve">La Enmienda 03 incorporó persistencia dentro de la configuración mediante una caché de integraciones indexada por el hash de sus insumos, interceptada desde el runner sin modificar el módulo común. Su efecto quedó medido en producción: tras una caída, la corrida recuperó sesenta integraciones en quince segundos, donde antes se habrían perdido unas seis horas. La configuración 45 se completó al día siguiente de aplicarla.</w:t>
      </w:r>
    </w:p>
    <w:p>
      <w:pPr>
        <w:spacing w:after="120"/>
      </w:pPr>
      <w:r>
        <w:rPr>
          <w:b/>
          <w:bCs/>
        </w:rPr>
        <w:t xml:space="preserve">Conclusión de diseño para las etapas futuras. </w:t>
      </w:r>
      <w:r>
        <w:t xml:space="preserve">El checkpoint debe situarse en la unidad de trabajo independiente más pequeña —la integración individual— y desde el diseño inicial, no como parche. En configuraciones de varias horas, el checkpoint por configuración deja de ser una comodidad y se vuelve el factor que determina si el experimento es ejecutable. Es una restricción de diseño medida, no una incidencia de infraestructura, y aplica a cualquier etapa del programa con cola pesada comparable.</w:t>
      </w:r>
    </w:p>
    <w:p>
      <w:pPr>
        <w:spacing w:after="120"/>
      </w:pPr>
      <w:r>
        <w:t xml:space="preserve">Se registra además que todas las sesiones recibieron el mismo hardware, un procesador de dos núcleos a 2,20 GHz con 12 GB de memoria, de modo que la variación de duración entre intentos de una misma configuración no se explica por la máquina asignada y se atribuye, sin haber podido medirla, a contención de recursos en el equipo compartido.</w:t>
      </w:r>
    </w:p>
    <w:p>
      <w:pPr>
        <w:pStyle w:val="Heading1"/>
        <w:spacing w:after="140" w:before="280"/>
      </w:pPr>
      <w:r>
        <w:t xml:space="preserve">10. Límites y lo que este resultado no afirma</w:t>
      </w:r>
    </w:p>
    <w:p>
      <w:pPr>
        <w:pStyle w:val="ListParagraph"/>
        <w:numPr>
          <w:ilvl w:val="0"/>
          <w:numId w:val="1"/>
        </w:numPr>
        <w:spacing w:after="120"/>
      </w:pPr>
      <w:r>
        <w:t xml:space="preserve">Mismo histórico. La etapa reutiliza el dataset y las semillas de v7.7-a y v7.7-b. Es un experimento de horizonte prerregistrado, no una validación independiente sobre datos nuevos.</w:t>
      </w:r>
    </w:p>
    <w:p>
      <w:pPr>
        <w:pStyle w:val="ListParagraph"/>
        <w:numPr>
          <w:ilvl w:val="0"/>
          <w:numId w:val="1"/>
        </w:numPr>
        <w:spacing w:after="120"/>
      </w:pPr>
      <w:r>
        <w:t xml:space="preserve">Sin brazo de control. Es la primera etapa del programa que prescinde del control negativo, con las tres razones declaradas en el prerregistro. La consecuencia, registrada por anticipado, es que no puede descartarse que una frontera de cobertura fuera artefacto del brazo principal. Ese riesgo no se materializó, porque la cobertura no se degradó; y el criterio primario no es de cobertura. Aun así, el límite subsiste como declarado.</w:t>
      </w:r>
    </w:p>
    <w:p>
      <w:pPr>
        <w:pStyle w:val="ListParagraph"/>
        <w:numPr>
          <w:ilvl w:val="0"/>
          <w:numId w:val="1"/>
        </w:numPr>
        <w:spacing w:after="120"/>
      </w:pPr>
      <w:r>
        <w:t xml:space="preserve">La frontera es la del régimen de compresibilidad bidimensional, no la del método. El instrumento puede seguir operando con más componentes más allá del snapshot 30; lo que esta etapa mide es dónde deja de valer la hipótesis que lo hace particularmente informativo.</w:t>
      </w:r>
    </w:p>
    <w:p>
      <w:pPr>
        <w:pStyle w:val="ListParagraph"/>
        <w:numPr>
          <w:ilvl w:val="0"/>
          <w:numId w:val="1"/>
        </w:numPr>
        <w:spacing w:after="120"/>
      </w:pPr>
      <w:r>
        <w:t xml:space="preserve">El umbral de utilidad absoluta no se fija aquí. El radio crece 567 veces, pero cuánto es demasiado depende de la aplicación y no puede decidirse dentro de esta etapa sin arbitrariedad. Se reporta para que una etapa aplicada lo fije con su propio criterio.</w:t>
      </w:r>
    </w:p>
    <w:p>
      <w:pPr>
        <w:pStyle w:val="ListParagraph"/>
        <w:numPr>
          <w:ilvl w:val="0"/>
          <w:numId w:val="1"/>
        </w:numPr>
        <w:spacing w:after="120"/>
      </w:pPr>
      <w:r>
        <w:t xml:space="preserve">La explicación de la inversión por subconjunto es una hipótesis, no un resultado. El hecho está medido; su causa no.</w:t>
      </w:r>
    </w:p>
    <w:p>
      <w:pPr>
        <w:pStyle w:val="ListParagraph"/>
        <w:numPr>
          <w:ilvl w:val="0"/>
          <w:numId w:val="1"/>
        </w:numPr>
        <w:spacing w:after="120"/>
      </w:pPr>
      <w:r>
        <w:t xml:space="preserve">El cómputo declarado es una cota inferior, por las razones de la § 9.</w:t>
      </w:r>
    </w:p>
    <w:p>
      <w:pPr>
        <w:pStyle w:val="Heading1"/>
        <w:spacing w:after="140" w:before="280"/>
      </w:pPr>
      <w:r>
        <w:t xml:space="preserve">11. Cierre del ciclo y traspaso</w:t>
      </w:r>
    </w:p>
    <w:p>
      <w:pPr>
        <w:spacing w:after="120"/>
      </w:pPr>
      <w:r>
        <w:t xml:space="preserve">Con esta etapa se completa la caracterización del instrumento en sus tres ejes. v7.7-a estableció la robustez de la calibración al tamaño del ensemble; v7.7-b habilitó la grilla completa de cinco niveles y fijó el tamaño del conjunto de calibración; v7.7-c acota el eje temporal. El dominio operativo de MTPS-C queda descrito en los tres. El ciclo v7.7 de caracterización queda cerrado sin una nueva etapa interna prevista: las etapas futuras del programa pasan a ser aplicadas o de extensión de dominio, no de caracterización del instrumento.</w:t>
      </w:r>
    </w:p>
    <w:p>
      <w:pPr>
        <w:spacing w:after="120"/>
      </w:pPr>
      <w:r>
        <w:t xml:space="preserve">Elementos que cualquier etapa aplicada hereda con base empírica:</w:t>
      </w:r>
    </w:p>
    <w:p>
      <w:pPr>
        <w:pStyle w:val="ListParagraph"/>
        <w:numPr>
          <w:ilvl w:val="0"/>
          <w:numId w:val="1"/>
        </w:numPr>
        <w:spacing w:after="120"/>
      </w:pPr>
      <w:r>
        <w:t xml:space="preserve">El régimen informativo se extiende hasta unas veinticinco veces el espaciado de referencia entre snapshots, con primer cruce en el 26 y pérdida sostenida desde el 30.</w:t>
      </w:r>
    </w:p>
    <w:p>
      <w:pPr>
        <w:pStyle w:val="ListParagraph"/>
        <w:numPr>
          <w:ilvl w:val="0"/>
          <w:numId w:val="1"/>
        </w:numPr>
        <w:spacing w:after="120"/>
      </w:pPr>
      <w:r>
        <w:t xml:space="preserve">La cobertura se mantiene válida más allá de esa frontera, de modo que un uso que solo requiera validez y no compresibilidad dispone de más margen del que esta frontera sugiere.</w:t>
      </w:r>
    </w:p>
    <w:p>
      <w:pPr>
        <w:pStyle w:val="ListParagraph"/>
        <w:numPr>
          <w:ilvl w:val="0"/>
          <w:numId w:val="1"/>
        </w:numPr>
        <w:spacing w:after="120"/>
      </w:pPr>
      <w:r>
        <w:t xml:space="preserve">El costo se concentra en la familia de encuentros violentos en una proporción estable entre etapas, del orden de dos tercios a cuatro quintos del total.</w:t>
      </w:r>
    </w:p>
    <w:p>
      <w:pPr>
        <w:pStyle w:val="ListParagraph"/>
        <w:numPr>
          <w:ilvl w:val="0"/>
          <w:numId w:val="1"/>
        </w:numPr>
        <w:spacing w:after="120"/>
      </w:pPr>
      <w:r>
        <w:t xml:space="preserve">El checkpoint por integración es condición de ejecutabilidad, no una optimización.</w:t>
      </w:r>
    </w:p>
    <w:p>
      <w:pPr>
        <w:pStyle w:val="ListParagraph"/>
        <w:numPr>
          <w:ilvl w:val="0"/>
          <w:numId w:val="1"/>
        </w:numPr>
        <w:spacing w:after="120"/>
      </w:pPr>
      <w:r>
        <w:t xml:space="preserve">La pérdida de compresibilidad se desacelera en lugar de acelerarse, lo que sugiere que el régimen estable es más amplio de lo que una extrapolación geométrica indicaría.</w:t>
      </w:r>
    </w:p>
    <w:p>
      <w:pPr>
        <w:spacing w:after="160"/>
      </w:pPr>
    </w:p>
    <w:p>
      <w:pPr>
        <w:spacing w:after="120"/>
      </w:pPr>
      <w:r>
        <w:rPr>
          <w:b/>
          <w:bCs/>
        </w:rPr>
        <w:t xml:space="preserve">Síntesis de la etapa. </w:t>
      </w:r>
      <w:r>
        <w:t xml:space="preserve">v7.7-c muestra que el instrumento conserva la cobertura más allá del punto en que pierde la compresibilidad bidimensional. El límite operativo caracterizado no es, por tanto, un límite de validez conformal sino de informatividad geométrica.</w:t>
      </w:r>
    </w:p>
    <w:p>
      <w:pPr>
        <w:pStyle w:val="Heading1"/>
        <w:spacing w:after="140" w:before="280"/>
      </w:pPr>
      <w:r>
        <w:t xml:space="preserve">Anexo — Paquete de evidencia</w:t>
      </w:r>
    </w:p>
    <w:p>
      <w:pPr>
        <w:spacing w:after="120"/>
      </w:pPr>
      <w:r>
        <w:t xml:space="preserve">Artefactos producidos por la corrida, en MyDrive/mtps_c/:</w:t>
      </w:r>
    </w:p>
    <w:p>
      <w:pPr>
        <w:pStyle w:val="ListParagraph"/>
        <w:numPr>
          <w:ilvl w:val="0"/>
          <w:numId w:val="1"/>
        </w:numPr>
        <w:spacing w:after="120"/>
      </w:pPr>
      <w:r>
        <w:t xml:space="preserve">partial_c_h2.pkl y partial_c_h4.pkl, cada uno con su bloque de procedencia conforme a la condición C9.</w:t>
      </w:r>
    </w:p>
    <w:p>
      <w:pPr>
        <w:pStyle w:val="ListParagraph"/>
        <w:numPr>
          <w:ilvl w:val="0"/>
          <w:numId w:val="1"/>
        </w:numPr>
        <w:spacing w:after="120"/>
      </w:pPr>
      <w:r>
        <w:t xml:space="preserve">mtps_c_v7_7c_metrics.txt — reporte consolidado.</w:t>
      </w:r>
    </w:p>
    <w:p>
      <w:pPr>
        <w:pStyle w:val="ListParagraph"/>
        <w:numPr>
          <w:ilvl w:val="0"/>
          <w:numId w:val="1"/>
        </w:numPr>
        <w:spacing w:after="120"/>
      </w:pPr>
      <w:r>
        <w:t xml:space="preserve">mtps_c_v7_7c_table_long.csv y mtps_c_v7_7c_table_cells.csv — datos por celda y por split.</w:t>
      </w:r>
    </w:p>
    <w:p>
      <w:pPr>
        <w:pStyle w:val="ListParagraph"/>
        <w:numPr>
          <w:ilvl w:val="0"/>
          <w:numId w:val="1"/>
        </w:numPr>
        <w:spacing w:after="120"/>
      </w:pPr>
      <w:r>
        <w:t xml:space="preserve">mtps_c_v7_7c_horizonte.csv (60 filas) — series por snapshot y por H.</w:t>
      </w:r>
    </w:p>
    <w:p>
      <w:pPr>
        <w:pStyle w:val="ListParagraph"/>
        <w:numPr>
          <w:ilvl w:val="0"/>
          <w:numId w:val="1"/>
        </w:numPr>
        <w:spacing w:after="120"/>
      </w:pPr>
      <w:r>
        <w:t xml:space="preserve">mtps_c_v7_7c_prediccion.json — contraste de la predicción prerregistrada.</w:t>
      </w:r>
    </w:p>
    <w:p>
      <w:pPr>
        <w:pStyle w:val="ListParagraph"/>
        <w:numPr>
          <w:ilvl w:val="0"/>
          <w:numId w:val="1"/>
        </w:numPr>
        <w:spacing w:after="120"/>
      </w:pPr>
      <w:r>
        <w:t xml:space="preserve">veredicto_prerregistrado_v7_7c.json — veredicto mecánico con el estado de las puertas y de los criterios.</w:t>
      </w:r>
    </w:p>
    <w:p>
      <w:pPr>
        <w:pStyle w:val="ListParagraph"/>
        <w:numPr>
          <w:ilvl w:val="0"/>
          <w:numId w:val="1"/>
        </w:numPr>
        <w:spacing w:after="120"/>
      </w:pPr>
      <w:r>
        <w:t xml:space="preserve">tiempos_por_config_v7_7c.csv (120 filas) — costo por configuración y por H.</w:t>
      </w:r>
    </w:p>
    <w:p>
      <w:pPr>
        <w:spacing w:after="160"/>
      </w:pPr>
    </w:p>
    <w:p>
      <w:pPr>
        <w:spacing w:after="120"/>
      </w:pPr>
      <w:r>
        <w:t xml:space="preserve">Documentos de la cadena emitidos durante la ejecución de esta etapa, cuyos hashes deben verificarse sobre las copias que residan en Drive: Enmienda 02 al Acta 02, ca32bf54 corresponde a la Enmienda 03 y cabb6299 a la 02; Anexo C7-c en su reemisión 3, cece019a la reemisión 2 y 9f5e21b2 la tercera. El acta de cierre de esta etapa los registra de forma completa.</w:t>
      </w:r>
    </w:p>
    <w:p>
      <w:pPr>
        <w:spacing w:after="120"/>
      </w:pPr>
      <w:r>
        <w:t xml:space="preserve">Entorno registrado en la procedencia de ambos stages: Python 3.13.15, numpy 2.1.3, Linux 6.6.122 x86-64. Hash canónico del dataset verificado en los dos: b2b0937a069d0170d9379ae08919067b9fff3e5ffc967a9f580425a80efedf47.</w:t>
      </w:r>
    </w:p>
    <w:p>
      <w:pPr>
        <w:spacing w:after="120"/>
      </w:pPr>
      <w:r>
        <w:t xml:space="preserve">Procedencia de módulos: el brazo H = 2 se generó con 5539e083796e26e2254c4bea50cc4a0b45f9c6b0dc7d6b66c8f47da0c657885e, previo a la Enmienda 02, y el brazo H = 4 con a6c37a3b8931e87223d25103965ea8392adb61b14831cb1f95b4c00844f038d6. La combinación está autorizada por esa enmienda, que modifica la función de comparación de las puertas y no el cómputo, y el consolidador la verifica de forma explícita.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Resultados MTPS-C v7.7-c</dc:title>
  <dc:creator>Programa MTPS-C</dc:creator>
  <cp:lastModifiedBy>Un-named</cp:lastModifiedBy>
  <cp:revision>1</cp:revision>
  <dcterms:created xsi:type="dcterms:W3CDTF">2026-09-22T22:46:21.784Z</dcterms:created>
  <dcterms:modified xsi:type="dcterms:W3CDTF">2026-09-22T22:46:21.791Z</dcterms:modified>
</cp:coreProperties>
</file>

<file path=docProps/custom.xml><?xml version="1.0" encoding="utf-8"?>
<Properties xmlns="http://schemas.openxmlformats.org/officeDocument/2006/custom-properties" xmlns:vt="http://schemas.openxmlformats.org/officeDocument/2006/docPropsVTypes"/>
</file>