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rFonts w:ascii="Arial" w:cs="Arial" w:eastAsia="Arial" w:hAnsi="Arial"/>
          <w:b/>
          <w:bCs/>
          <w:sz w:val="40"/>
          <w:szCs w:val="40"/>
        </w:rPr>
        <w:t xml:space="preserve">LIT-00</w:t>
      </w:r>
    </w:p>
    <w:p>
      <w:pPr>
        <w:spacing w:after="160"/>
        <w:jc w:val="center"/>
      </w:pPr>
      <w:r>
        <w:rPr>
          <w:rFonts w:ascii="Arial" w:cs="Arial" w:eastAsia="Arial" w:hAnsi="Arial"/>
          <w:i/>
          <w:iCs/>
          <w:sz w:val="26"/>
          <w:szCs w:val="26"/>
        </w:rPr>
        <w:t xml:space="preserve">Mapa de Literatura y Posicionamiento del MTPS-C</w:t>
      </w:r>
    </w:p>
    <w:p>
      <w:pPr>
        <w:spacing w:after="160"/>
        <w:jc w:val="center"/>
      </w:pPr>
      <w:r>
        <w:rPr>
          <w:rFonts w:ascii="Arial" w:cs="Arial" w:eastAsia="Arial" w:hAnsi="Arial"/>
          <w:sz w:val="22"/>
          <w:szCs w:val="22"/>
        </w:rPr>
        <w:t xml:space="preserve">Reclamo evaluado: calibración conformal condicional por configuración mediante réplicas simuladas de la misma condición inicial</w:t>
      </w:r>
    </w:p>
    <w:p>
      <w:pPr>
        <w:spacing w:after="160"/>
        <w:jc w:val="center"/>
      </w:pPr>
      <w:r>
        <w:rPr>
          <w:rFonts w:ascii="Arial" w:cs="Arial" w:eastAsia="Arial" w:hAnsi="Arial"/>
          <w:b/>
          <w:bCs/>
          <w:sz w:val="20"/>
          <w:szCs w:val="20"/>
        </w:rPr>
        <w:t xml:space="preserve">VERSIÓN 1.0 — matriz de 17 filas sobre 12 obras, 16 filas verificadas contra PDF · apta para fundar la sección de trabajo previo del paper</w:t>
      </w:r>
    </w:p>
    <w:p>
      <w:pPr>
        <w:spacing w:after="160"/>
        <w:jc w:val="center"/>
      </w:pPr>
      <w:r>
        <w:rPr>
          <w:rFonts w:ascii="Arial" w:cs="Arial" w:eastAsia="Arial" w:hAnsi="Arial"/>
          <w:i/>
          <w:iCs/>
          <w:sz w:val="22"/>
          <w:szCs w:val="22"/>
        </w:rPr>
        <w:t xml:space="preserve">Motor de Trayectorias Probabilísticas para Sistemas Caóticos</w:t>
      </w:r>
    </w:p>
    <w:p>
      <w:pPr>
        <w:spacing w:after="120" w:before="400"/>
        <w:jc w:val="center"/>
      </w:pPr>
      <w:r>
        <w:rPr>
          <w:rFonts w:ascii="Arial" w:cs="Arial" w:eastAsia="Arial" w:hAnsi="Arial"/>
          <w:b/>
          <w:bCs/>
          <w:sz w:val="24"/>
          <w:szCs w:val="24"/>
        </w:rPr>
        <w:t xml:space="preserve">Joaquín Peñafiel</w:t>
      </w:r>
    </w:p>
    <w:p>
      <w:pPr>
        <w:spacing w:after="160"/>
        <w:jc w:val="center"/>
      </w:pPr>
      <w:r>
        <w:rPr>
          <w:rFonts w:ascii="Arial" w:cs="Arial" w:eastAsia="Arial" w:hAnsi="Arial"/>
          <w:sz w:val="22"/>
          <w:szCs w:val="22"/>
        </w:rPr>
        <w:t xml:space="preserve">Chile · 11 de agosto de 2026</w:t>
      </w:r>
    </w:p>
    <w:p>
      <w:pPr>
        <w:spacing w:after="160"/>
        <w:jc w:val="center"/>
      </w:pPr>
      <w:r>
        <w:rPr>
          <w:rFonts w:ascii="Arial" w:cs="Arial" w:eastAsia="Arial" w:hAnsi="Arial"/>
          <w:i/>
          <w:iCs/>
          <w:sz w:val="20"/>
          <w:szCs w:val="20"/>
        </w:rPr>
        <w:t xml:space="preserve">Alcance declarado: búsqueda exhaustiva razonable — cuatro pasadas con vocabularios de comunidades distintas más corte de lectura dirigida — no exhaustividad universal. El criterio de cierre de § 1.2 la mantiene falsable.</w:t>
      </w:r>
    </w:p>
    <w:p>
      <w:pPr>
        <w:pageBreakBefore/>
      </w:pPr>
    </w:p>
    <w:p>
      <w:pPr>
        <w:pStyle w:val="Heading1"/>
        <w:spacing w:after="160" w:before="280"/>
      </w:pPr>
      <w:r>
        <w:rPr>
          <w:rFonts w:ascii="Arial" w:cs="Arial" w:eastAsia="Arial" w:hAnsi="Arial"/>
          <w:b/>
          <w:bCs/>
          <w:sz w:val="28"/>
          <w:szCs w:val="28"/>
        </w:rPr>
        <w:t xml:space="preserve">1. Propósito, Historia del Reclamo y Criterio de Cierre</w:t>
      </w:r>
    </w:p>
    <w:p>
      <w:pPr>
        <w:spacing w:after="120"/>
        <w:jc w:val="both"/>
      </w:pPr>
      <w:r>
        <w:rPr>
          <w:rFonts w:ascii="Arial" w:cs="Arial" w:eastAsia="Arial" w:hAnsi="Arial"/>
          <w:sz w:val="22"/>
          <w:szCs w:val="22"/>
        </w:rPr>
        <w:t xml:space="preserve">LIT-00 es el mapa de literatura contra el cual se posiciona el MTPS-C y el insumo directo de la sección de trabajo previo del paper. La primera búsqueda se hizo contra el reclamo original («conformal prediction en sistemas caóticos») y descartó cualquier primicia ahí; el reclamo se refinó a lo que el método hace — cobertura condicional por configuración mediante réplicas simuladas — y las pasadas siguientes se ejecutaron contra ese reclamo, cubriendo predicción conformal (condicional, Mondrian, localizada, multi-input), reachability, surrogates físicos, inferencia bayesiana de simuladores, meteorología de ensembles y astrodinámica.</w:t>
      </w:r>
    </w:p>
    <w:p>
      <w:pPr>
        <w:spacing w:after="120"/>
        <w:jc w:val="both"/>
      </w:pPr>
      <w:r>
        <w:rPr>
          <w:rFonts w:ascii="Arial" w:cs="Arial" w:eastAsia="Arial" w:hAnsi="Arial"/>
          <w:b/>
          <w:bCs/>
          <w:sz w:val="22"/>
          <w:szCs w:val="22"/>
        </w:rPr>
        <w:t xml:space="preserve">Criterio de cierre (falsable): </w:t>
      </w:r>
      <w:r>
        <w:rPr>
          <w:rFonts w:ascii="Arial" w:cs="Arial" w:eastAsia="Arial" w:hAnsi="Arial"/>
          <w:sz w:val="22"/>
          <w:szCs w:val="22"/>
        </w:rPr>
        <w:t xml:space="preserve">si aparece un trabajo que use réplicas independientes de la misma condición inicial como estrato conformal y caracterice dominio operativo en dinámica gravitatoria u orbital, el posicionamiento baja y este documento se revisa. Tras las pasadas realizadas, el riesgo residual se considera razonable; nunca es cero.</w:t>
      </w:r>
    </w:p>
    <w:p>
      <w:pPr>
        <w:pStyle w:val="Heading1"/>
        <w:spacing w:after="160" w:before="280"/>
      </w:pPr>
      <w:r>
        <w:rPr>
          <w:rFonts w:ascii="Arial" w:cs="Arial" w:eastAsia="Arial" w:hAnsi="Arial"/>
          <w:b/>
          <w:bCs/>
          <w:sz w:val="28"/>
          <w:szCs w:val="28"/>
        </w:rPr>
        <w:t xml:space="preserve">2. Estándar de Verificación</w:t>
      </w:r>
    </w:p>
    <w:p>
      <w:pPr>
        <w:spacing w:after="120"/>
        <w:jc w:val="both"/>
      </w:pPr>
      <w:r>
        <w:rPr>
          <w:rFonts w:ascii="Arial" w:cs="Arial" w:eastAsia="Arial" w:hAnsi="Arial"/>
          <w:sz w:val="22"/>
          <w:szCs w:val="22"/>
        </w:rPr>
        <w:t xml:space="preserve">Regla del programa: ninguna cita entra al paper sin verificación contra el PDF real — cita textual y página. La matriz de la sección 5 registra 17 filas sobre 12 obras distintas (Vovk 2012 aporta cuatro filas y Gopakumar tres), con 16 filas verificadas; la única pendiente (el libro de 2005) quedó degradada a opcional porque el término «Mondrian» se cita vía Boström 2021, que lo define con cita textual y atribuye su origen a Vovk et al. 2005.</w:t>
      </w:r>
    </w:p>
    <w:p>
      <w:pPr>
        <w:pStyle w:val="Heading1"/>
        <w:spacing w:after="160" w:before="280"/>
      </w:pPr>
      <w:r>
        <w:rPr>
          <w:rFonts w:ascii="Arial" w:cs="Arial" w:eastAsia="Arial" w:hAnsi="Arial"/>
          <w:b/>
          <w:bCs/>
          <w:sz w:val="28"/>
          <w:szCs w:val="28"/>
        </w:rPr>
        <w:t xml:space="preserve">3. Fundación Teórica (verificada)</w:t>
      </w:r>
    </w:p>
    <w:p>
      <w:pPr>
        <w:spacing w:after="120"/>
        <w:jc w:val="both"/>
      </w:pPr>
      <w:r>
        <w:rPr>
          <w:rFonts w:ascii="Arial" w:cs="Arial" w:eastAsia="Arial" w:hAnsi="Arial"/>
          <w:b/>
          <w:bCs/>
          <w:sz w:val="22"/>
          <w:szCs w:val="22"/>
        </w:rPr>
        <w:t xml:space="preserve">El mecanismo tiene nombre y teoría: </w:t>
      </w:r>
      <w:r>
        <w:rPr>
          <w:rFonts w:ascii="Arial" w:cs="Arial" w:eastAsia="Arial" w:hAnsi="Arial"/>
          <w:sz w:val="22"/>
          <w:szCs w:val="22"/>
        </w:rPr>
        <w:t xml:space="preserve">conditional inductive conformal predictors (Vovk 2012): taxonomía preespecificada, calibración solo con ejemplos de la misma categoría, garantía por categoría (Proposition 3, p. 479). En la literatura posterior el esquema se llama predicción conformal Mondrian (Boström 2021: categorías definidas a priori). MTPS-C lo instancia con un estrato por configuración, regla fijada por diseño antes de puntuar: la garantía de estrato finito aplica formalmente, y el 12/13 de la NT-01 es esa garantía con n_calib = 12.</w:t>
      </w:r>
    </w:p>
    <w:p>
      <w:pPr>
        <w:spacing w:after="120"/>
        <w:jc w:val="both"/>
      </w:pPr>
      <w:r>
        <w:rPr>
          <w:rFonts w:ascii="Arial" w:cs="Arial" w:eastAsia="Arial" w:hAnsi="Arial"/>
          <w:b/>
          <w:bCs/>
          <w:sz w:val="22"/>
          <w:szCs w:val="22"/>
        </w:rPr>
        <w:t xml:space="preserve">La imposibilidad y la salida: </w:t>
      </w:r>
      <w:r>
        <w:rPr>
          <w:rFonts w:ascii="Arial" w:cs="Arial" w:eastAsia="Arial" w:hAnsi="Arial"/>
          <w:sz w:val="22"/>
          <w:szCs w:val="22"/>
        </w:rPr>
        <w:t xml:space="preserve">la validez condicional por objeto exacta es imposible en el caso general distribution-free con una observación por objeto (Barber et al. 2021; Vovk 2012). El propio Vovk registra la excepción de probabilidad positiva («if PX({x}) &gt; 0», p. 480): el objeto que puede repetirse. Las 25 réplicas simuladas por configuración construyen esa condición por diseño — MTPS-C no contradice el teorema; habita la salida que su autor nombró. Alcance declarado: la validez es exacta bajo el modelo generador, no bajo la naturaleza; aplicada a un sistema real hereda el error del modelo.</w:t>
      </w:r>
    </w:p>
    <w:p>
      <w:pPr>
        <w:pStyle w:val="Heading1"/>
        <w:spacing w:after="160" w:before="280"/>
      </w:pPr>
      <w:r>
        <w:rPr>
          <w:rFonts w:ascii="Arial" w:cs="Arial" w:eastAsia="Arial" w:hAnsi="Arial"/>
          <w:b/>
          <w:bCs/>
          <w:sz w:val="28"/>
          <w:szCs w:val="28"/>
        </w:rPr>
        <w:t xml:space="preserve">4. Mapa por Comunidades (síntesis)</w:t>
      </w:r>
    </w:p>
    <w:p>
      <w:pPr>
        <w:spacing w:after="120"/>
        <w:jc w:val="both"/>
      </w:pPr>
      <w:r>
        <w:rPr>
          <w:rFonts w:ascii="Arial" w:cs="Arial" w:eastAsia="Arial" w:hAnsi="Arial"/>
          <w:sz w:val="22"/>
          <w:szCs w:val="22"/>
        </w:rPr>
        <w:t xml:space="preserve">Reachability conformal (Hashemi flowpipes; Tebjou Christoffel): garantía marginal sobre conjuntos de condiciones iniciales — lo que exige la verificación de sistemas; MTPS-C calibra condicionalmente a una configuración — lo que exige la predicción de un objeto individual. Surrogates físicos (Gopakumar et al.): el vecino más cercano; calibra con condiciones iniciales distintas (marginal), es prior art de la calibración celda a celda, ya demostró cobertura OOD, y reconoce en p. 34 que la cobertura condicional es «more desirable» — nombra como deseable lo que MTPS-C entrega. Multi-input (Fermanian et al.) y localized CP (Guan): estructuras cercanas, mecanismos distintos. Meteorología (Dirkson &amp; Buehner 2026): el diagnóstico agregado puede producir falsos positivos de confiabilidad — motivo citable para la garantía por caso. Astrodinámica (Chen et al. 2013): CP orbital existe como detección de anomalías; regiones accesibles calibradas por configuración, no — hueco de la etapa 2, con cautela de patentes GVM. Horizonte largo (eCP): literatura clave de v7.7-c. Réplicas por punto de diseño sin conformal (Zhu &amp; Sudret) y SBC bayesiana: parientes, no competidores.</w:t>
      </w:r>
    </w:p>
    <w:p>
      <w:pPr>
        <w:pStyle w:val="Heading1"/>
        <w:spacing w:after="160" w:before="280"/>
      </w:pPr>
      <w:r>
        <w:rPr>
          <w:rFonts w:ascii="Arial" w:cs="Arial" w:eastAsia="Arial" w:hAnsi="Arial"/>
          <w:b/>
          <w:bCs/>
          <w:sz w:val="28"/>
          <w:szCs w:val="28"/>
        </w:rPr>
        <w:t xml:space="preserve">5. Matriz de Citas Verificadas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050"/>
        <w:gridCol w:w="3760"/>
        <w:gridCol w:w="700"/>
      </w:tblGrid>
      <w:tr>
        <w:trPr>
          <w:tblHeader/>
        </w:trPr>
        <w:tc>
          <w:tcPr>
            <w:tcW w:type="dxa" w:w="1850"/>
            <w:tcMar>
              <w:top w:type="dxa" w:w="60"/>
              <w:left w:type="dxa" w:w="100"/>
              <w:bottom w:type="dxa" w:w="60"/>
              <w:right w:type="dxa" w:w="100"/>
            </w:tcMar>
          </w:tcPr>
          <w:p>
            <w:pPr>
              <w:spacing w:after="0"/>
            </w:pPr>
            <w:r>
              <w:rPr>
                <w:rFonts w:ascii="Arial" w:cs="Arial" w:eastAsia="Arial" w:hAnsi="Arial"/>
                <w:b/>
                <w:bCs/>
                <w:sz w:val="18"/>
                <w:szCs w:val="18"/>
              </w:rPr>
              <w:t xml:space="preserve">Fuente</w:t>
            </w:r>
          </w:p>
        </w:tc>
        <w:tc>
          <w:tcPr>
            <w:tcW w:type="dxa" w:w="3050"/>
            <w:tcMar>
              <w:top w:type="dxa" w:w="60"/>
              <w:left w:type="dxa" w:w="100"/>
              <w:bottom w:type="dxa" w:w="60"/>
              <w:right w:type="dxa" w:w="100"/>
            </w:tcMar>
          </w:tcPr>
          <w:p>
            <w:pPr>
              <w:spacing w:after="0"/>
            </w:pPr>
            <w:r>
              <w:rPr>
                <w:rFonts w:ascii="Arial" w:cs="Arial" w:eastAsia="Arial" w:hAnsi="Arial"/>
                <w:b/>
                <w:bCs/>
                <w:sz w:val="18"/>
                <w:szCs w:val="18"/>
              </w:rPr>
              <w:t xml:space="preserve">Cita textual clave + página</w:t>
            </w:r>
          </w:p>
        </w:tc>
        <w:tc>
          <w:tcPr>
            <w:tcW w:type="dxa" w:w="3760"/>
            <w:tcMar>
              <w:top w:type="dxa" w:w="60"/>
              <w:left w:type="dxa" w:w="100"/>
              <w:bottom w:type="dxa" w:w="60"/>
              <w:right w:type="dxa" w:w="100"/>
            </w:tcMar>
          </w:tcPr>
          <w:p>
            <w:pPr>
              <w:spacing w:after="0"/>
            </w:pPr>
            <w:r>
              <w:rPr>
                <w:rFonts w:ascii="Arial" w:cs="Arial" w:eastAsia="Arial" w:hAnsi="Arial"/>
                <w:b/>
                <w:bCs/>
                <w:sz w:val="18"/>
                <w:szCs w:val="18"/>
              </w:rPr>
              <w:t xml:space="preserve">Lectura para MTPS-C</w:t>
            </w:r>
          </w:p>
        </w:tc>
        <w:tc>
          <w:tcPr>
            <w:tcW w:type="dxa" w:w="700"/>
            <w:tcMar>
              <w:top w:type="dxa" w:w="60"/>
              <w:left w:type="dxa" w:w="100"/>
              <w:bottom w:type="dxa" w:w="60"/>
              <w:right w:type="dxa" w:w="100"/>
            </w:tcMar>
          </w:tcPr>
          <w:p>
            <w:pPr>
              <w:spacing w:after="0"/>
            </w:pPr>
            <w:r>
              <w:rPr>
                <w:rFonts w:ascii="Arial" w:cs="Arial" w:eastAsia="Arial" w:hAnsi="Arial"/>
                <w:b/>
                <w:bCs/>
                <w:sz w:val="18"/>
                <w:szCs w:val="18"/>
              </w:rPr>
              <w:t xml:space="preserve">PDF</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Vovk 2012 — taxonomía</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«An inductive m-taxonomy is a measurable function» — p. 479 / PDF 6</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La configuración física se declara como taxonomía/estrato previo</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Vovk 2012 — Proposition 3</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«given the category … does not exceed ε» — p. 479 / PDF 6</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Validez por categoría: la garantía de estrato es teoría establecida, no invención</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Vovk 2012 — límite condicional</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«cannot be satisfied in a non-trivial way» — p. 479 / PDF 6</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No reclamar cobertura condicional universal; reclamar validez por estrato en simulación replicable</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Vovk 2012 — cláusula de escape</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«if PX({x}) &gt; 0» — p. 480 / PDF 7</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La condición de repetibilidad que las réplicas simuladas construyen por diseño — cita ancla</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Boström 2021 — Mondrian CPDs</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«a priori defined categories» — PDF 2; «calibration examples are somehow divided into different categories» — PDF 5</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Segunda fuente del término «Mondrian»: MTPS-C es Mondrian extremo con un estrato por configuración</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Barber et al. 2021</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«coverage holds on average» / «given individual»; «conditional inference guarantees are known to be impossible» — PDF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Marginal vs condicional e imposibilidad general; MTPS-C sale del caso general por réplicas</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Gopakumar et al. 2024/25</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«marginal coverage guarantees at every spatial and temporal location» — PDF 5</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CP físico espaciotemporal ya existe; sin primicia ahí. Prior art de calibración celda a celda</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Gopakumar et al. — OOD</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«exchangeability between calibration and prediction regimes» — PDF 15</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Cobertura OOD ya demostrada: el heatmap de v7.7-a se reporta como robustez de score/geometría</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Gopakumar et al. — p. 34</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«rather than the more desirable conditional coverage» — PDF 34</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El vecino más cercano nombra como deseable lo que MTPS-C entrega — cita de posicionamiento</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Chen et al. 2013 — space surv.</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«provide collision alerts with a desirable confidence level»; «…same distribution» — Proc. SPIE p.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CP orbital existe (anomalías/alertas, NORAD); no regiones accesibles por configuración con réplicas</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Dirkson &amp; Buehner 2026</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«necessary but insufficient»; «false diagnoses of reliability» — p.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El diagnóstico agregado de ensembles puede mentir: motivo citable para la garantía por caso</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Fermanian, Hebiri &amp; Salmon 2025</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«multiple observations … of a single instance are available at prediction time»; «class-conditional coverage guarantee» — PDF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Múltiples observaciones por instancia existen, pero en clasificación con agregación de p-values; no réplicas físicas ni regiones dinámicas</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Guan 2021 — localized CP</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«single-test-sample adaptive construction»; «local region around this test sample»; «finite sample marginal coverage guarantee» — PDF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CP local por pesos/vecindad, no estrato exacto por configuración con réplicas</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Bousias, Lindemann &amp; Pappas 2026 — eCP</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«CP uncertainty regions can grow significantly in long horizon missions»; «group-averaging» — PDF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Regiones válidas pero poco informativas en horizonte largo: literatura clave de v7.7-c</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Hashemi et al. 2023 — flowpipes</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«probabilistic flowpipe»; «K-step trajectory» — PDF 1; «entire trajectories … i.i.d. samples» — PDF 3</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Garantía por trayectoria K-step completa, marginal sobre condiciones iniciales; no estrato por configuración individual</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Tebjou, Frehse &amp; Chamroukhi 2023 — Christoffel</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«estimating the reach set based on a sample of states» — PDF 1; «single time step» — PDF 2; «robust to outliers» — PDF 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Reach set de la imagen de un conjunto, single-step, teoría PAC; no configuración replicada ni horizonte caótico</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Sí</w:t>
            </w:r>
          </w:p>
        </w:tc>
      </w:tr>
      <w:tr>
        <w:tc>
          <w:tcPr>
            <w:tcW w:type="dxa" w:w="1850"/>
            <w:tcMar>
              <w:top w:type="dxa" w:w="60"/>
              <w:left w:type="dxa" w:w="100"/>
              <w:bottom w:type="dxa" w:w="60"/>
              <w:right w:type="dxa" w:w="100"/>
            </w:tcMar>
          </w:tcPr>
          <w:p>
            <w:pPr>
              <w:spacing w:after="0"/>
            </w:pPr>
            <w:r>
              <w:rPr>
                <w:rFonts w:ascii="Arial" w:cs="Arial" w:eastAsia="Arial" w:hAnsi="Arial"/>
                <w:b w:val="false"/>
                <w:bCs w:val="false"/>
                <w:sz w:val="18"/>
                <w:szCs w:val="18"/>
              </w:rPr>
              <w:t xml:space="preserve">Vovk, Gammerman y Shafer 2005 (libro)</w:t>
            </w:r>
          </w:p>
        </w:tc>
        <w:tc>
          <w:tcPr>
            <w:tcW w:type="dxa" w:w="3050"/>
            <w:tcMar>
              <w:top w:type="dxa" w:w="60"/>
              <w:left w:type="dxa" w:w="100"/>
              <w:bottom w:type="dxa" w:w="60"/>
              <w:right w:type="dxa" w:w="100"/>
            </w:tcMar>
          </w:tcPr>
          <w:p>
            <w:pPr>
              <w:spacing w:after="0"/>
            </w:pPr>
            <w:r>
              <w:rPr>
                <w:rFonts w:ascii="Arial" w:cs="Arial" w:eastAsia="Arial" w:hAnsi="Arial"/>
                <w:b w:val="false"/>
                <w:bCs w:val="false"/>
                <w:sz w:val="18"/>
                <w:szCs w:val="18"/>
              </w:rPr>
              <w:t xml:space="preserve">(pendiente de PDF verificable; origen del término según Boström 2021)</w:t>
            </w:r>
          </w:p>
        </w:tc>
        <w:tc>
          <w:tcPr>
            <w:tcW w:type="dxa" w:w="3760"/>
            <w:tcMar>
              <w:top w:type="dxa" w:w="60"/>
              <w:left w:type="dxa" w:w="100"/>
              <w:bottom w:type="dxa" w:w="60"/>
              <w:right w:type="dxa" w:w="100"/>
            </w:tcMar>
          </w:tcPr>
          <w:p>
            <w:pPr>
              <w:spacing w:after="0"/>
            </w:pPr>
            <w:r>
              <w:rPr>
                <w:rFonts w:ascii="Arial" w:cs="Arial" w:eastAsia="Arial" w:hAnsi="Arial"/>
                <w:b w:val="false"/>
                <w:bCs w:val="false"/>
                <w:sz w:val="18"/>
                <w:szCs w:val="18"/>
              </w:rPr>
              <w:t xml:space="preserve">Fuente histórica del término Mondrian; degradada a opcional al existir Boström 2021</w:t>
            </w:r>
          </w:p>
        </w:tc>
        <w:tc>
          <w:tcPr>
            <w:tcW w:type="dxa" w:w="700"/>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bl>
    <w:p>
      <w:pPr>
        <w:spacing w:after="120"/>
        <w:jc w:val="both"/>
      </w:pPr>
      <w:r>
        <w:rPr>
          <w:rFonts w:ascii="Arial" w:cs="Arial" w:eastAsia="Arial" w:hAnsi="Arial"/>
          <w:sz w:val="22"/>
          <w:szCs w:val="22"/>
        </w:rPr>
        <w:t xml:space="preserve"/>
      </w:r>
    </w:p>
    <w:p>
      <w:pPr>
        <w:spacing w:after="120"/>
        <w:jc w:val="both"/>
      </w:pPr>
      <w:r>
        <w:rPr>
          <w:rFonts w:ascii="Arial" w:cs="Arial" w:eastAsia="Arial" w:hAnsi="Arial"/>
          <w:i/>
          <w:iCs/>
          <w:sz w:val="22"/>
          <w:szCs w:val="22"/>
        </w:rPr>
        <w:t xml:space="preserve">Estas fuentes cierran el riesgo residual mapeado: existen multi-input CP, localized CP, eCP geométrico, reachability por flowpipes y reach sets con Christoffel. Ninguna muestra, en lo verificado, la combinación específica de MTPS-C: estrato predefinido por configuración física, réplicas simuladas independientes de la misma condición inicial, regiones dinámicas accesibles en tres cuerpos gravitatorio y caracterización empírica del dominio operativo.</w:t>
      </w:r>
    </w:p>
    <w:p>
      <w:pPr>
        <w:pStyle w:val="Heading1"/>
        <w:spacing w:after="160" w:before="280"/>
      </w:pPr>
      <w:r>
        <w:rPr>
          <w:rFonts w:ascii="Arial" w:cs="Arial" w:eastAsia="Arial" w:hAnsi="Arial"/>
          <w:b/>
          <w:bCs/>
          <w:sz w:val="28"/>
          <w:szCs w:val="28"/>
        </w:rPr>
        <w:t xml:space="preserve">6. Posicionamiento</w:t>
      </w:r>
    </w:p>
    <w:p>
      <w:pPr>
        <w:spacing w:after="120"/>
        <w:jc w:val="both"/>
      </w:pPr>
      <w:r>
        <w:rPr>
          <w:rFonts w:ascii="Arial" w:cs="Arial" w:eastAsia="Arial" w:hAnsi="Arial"/>
          <w:i/>
          <w:iCs/>
          <w:sz w:val="22"/>
          <w:szCs w:val="22"/>
        </w:rPr>
        <w:t xml:space="preserve">MTPS-C instancia predicción conformal Mondrian — condicional/estratificada por taxonomía (Vovk 2012; Boström 2021) — con un estrato predefinido por configuración física, usando réplicas simuladas independientes de la misma condición inicial como conjunto local de calibración y evaluación. Esa construcción alcanza validez condicional por objeto de forma exacta bajo el modelo generador, porque la replicabilidad de la simulación la sitúa en la excepción de probabilidad positiva que el propio marco registra, fuera del alcance del resultado de imposibilidad de muestra finita. Sobre esa base caracteriza empíricamente el dominio operativo de regiones accesibles calibradas en el problema gravitatorio de tres cuerpos: escalamiento de ensemble, regímenes extremos, control negativo replicado, robustez del score geométrico y horizonte útil.</w:t>
      </w:r>
    </w:p>
    <w:p>
      <w:pPr>
        <w:pStyle w:val="ListParagraph"/>
        <w:numPr>
          <w:ilvl w:val="0"/>
          <w:numId w:val="2"/>
        </w:numPr>
        <w:spacing w:after="100"/>
        <w:jc w:val="both"/>
      </w:pPr>
      <w:r>
        <w:rPr>
          <w:rFonts w:ascii="Arial" w:cs="Arial" w:eastAsia="Arial" w:hAnsi="Arial"/>
          <w:b/>
          <w:bCs/>
          <w:sz w:val="22"/>
          <w:szCs w:val="22"/>
        </w:rPr>
        <w:t xml:space="preserve">No se reclama: </w:t>
      </w:r>
      <w:r>
        <w:rPr>
          <w:rFonts w:ascii="Arial" w:cs="Arial" w:eastAsia="Arial" w:hAnsi="Arial"/>
          <w:sz w:val="22"/>
          <w:szCs w:val="22"/>
        </w:rPr>
        <w:t xml:space="preserve">primicia de conformal en caos ni en física espaciotemporal; novedad del mecanismo de estratos ni de la calibración celda a celda; novedad de la cobertura OOD; contradecir la imposibilidad condicional; resolver el problema de tres cuerpos.</w:t>
      </w:r>
    </w:p>
    <w:p>
      <w:pPr>
        <w:pStyle w:val="Heading1"/>
        <w:spacing w:after="160" w:before="280"/>
      </w:pPr>
      <w:r>
        <w:rPr>
          <w:rFonts w:ascii="Arial" w:cs="Arial" w:eastAsia="Arial" w:hAnsi="Arial"/>
          <w:b/>
          <w:bCs/>
          <w:sz w:val="28"/>
          <w:szCs w:val="28"/>
        </w:rPr>
        <w:t xml:space="preserve">7. Pendientes Opcionales</w:t>
      </w:r>
    </w:p>
    <w:p>
      <w:pPr>
        <w:pStyle w:val="ListParagraph"/>
        <w:numPr>
          <w:ilvl w:val="0"/>
          <w:numId w:val="2"/>
        </w:numPr>
        <w:spacing w:after="100"/>
        <w:jc w:val="both"/>
      </w:pPr>
      <w:r>
        <w:rPr>
          <w:rFonts w:ascii="Arial" w:cs="Arial" w:eastAsia="Arial" w:hAnsi="Arial"/>
          <w:sz w:val="22"/>
          <w:szCs w:val="22"/>
        </w:rPr>
        <w:t xml:space="preserve">Anexo formal de metodología de búsqueda (queries, bases, criterios de inclusión/exclusión) — recomendado para el paper, no bloquea el uso de esta versión.</w:t>
      </w:r>
    </w:p>
    <w:p>
      <w:pPr>
        <w:pStyle w:val="ListParagraph"/>
        <w:numPr>
          <w:ilvl w:val="0"/>
          <w:numId w:val="2"/>
        </w:numPr>
        <w:spacing w:after="100"/>
        <w:jc w:val="both"/>
      </w:pPr>
      <w:r>
        <w:rPr>
          <w:rFonts w:ascii="Arial" w:cs="Arial" w:eastAsia="Arial" w:hAnsi="Arial"/>
          <w:sz w:val="22"/>
          <w:szCs w:val="22"/>
        </w:rPr>
        <w:t xml:space="preserve">Página del libro de 2005 si se consigue PDF verificable (cosmético: Boström 2021 ya cubre el término).</w:t>
      </w:r>
    </w:p>
    <w:p>
      <w:pPr>
        <w:pStyle w:val="ListParagraph"/>
        <w:numPr>
          <w:ilvl w:val="0"/>
          <w:numId w:val="2"/>
        </w:numPr>
        <w:spacing w:after="100"/>
        <w:jc w:val="both"/>
      </w:pPr>
      <w:r>
        <w:rPr>
          <w:rFonts w:ascii="Arial" w:cs="Arial" w:eastAsia="Arial" w:hAnsi="Arial"/>
          <w:sz w:val="22"/>
          <w:szCs w:val="22"/>
        </w:rPr>
        <w:t xml:space="preserve">Congelar la frase de posicionamiento final al redactar el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2026-08-11T23:27:16.653Z</dcterms:created>
  <dcterms:modified xsi:type="dcterms:W3CDTF">2026-08-11T23:27:16.654Z</dcterms:modified>
</cp:coreProperties>
</file>

<file path=docProps/custom.xml><?xml version="1.0" encoding="utf-8"?>
<Properties xmlns="http://schemas.openxmlformats.org/officeDocument/2006/custom-properties" xmlns:vt="http://schemas.openxmlformats.org/officeDocument/2006/docPropsVTypes"/>
</file>