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Nota de Auditoría NA-01</w:t>
      </w:r>
    </w:p>
    <w:p>
      <w:pPr>
        <w:spacing w:after="80"/>
        <w:jc w:val="center"/>
      </w:pPr>
      <w:r>
        <w:rPr>
          <w:i/>
          <w:iCs/>
          <w:sz w:val="24"/>
          <w:szCs w:val="24"/>
        </w:rPr>
        <w:t xml:space="preserve">Enmiendas propuestas a la Hoja de Ruta MTPS-C v7.7-b (borrador)</w:t>
      </w:r>
    </w:p>
    <w:p>
      <w:pPr>
        <w:spacing w:after="200"/>
        <w:jc w:val="center"/>
      </w:pPr>
      <w:r>
        <w:rPr>
          <w:sz w:val="20"/>
          <w:szCs w:val="20"/>
        </w:rPr>
        <w:t xml:space="preserve">Sensibilidad del Conjunto de Calibración — Barrido de M</w:t>
      </w:r>
    </w:p>
    <w:p>
      <w:pPr>
        <w:spacing w:after="200"/>
        <w:jc w:val="center"/>
      </w:pPr>
      <w:r>
        <w:rPr>
          <w:b/>
          <w:bCs/>
          <w:sz w:val="20"/>
          <w:szCs w:val="20"/>
        </w:rPr>
        <w:t xml:space="preserve">PROPUESTA DE AUDITORÍA — NO INCORPORADA — NO AUTORIZA CORRIDA</w:t>
      </w:r>
    </w:p>
    <w:p>
      <w:pPr>
        <w:spacing w:after="80"/>
        <w:jc w:val="center"/>
      </w:pPr>
      <w:r>
        <w:rPr>
          <w:sz w:val="20"/>
          <w:szCs w:val="20"/>
        </w:rPr>
        <w:t xml:space="preserve">Chile · 11 de agosto de 2026</w:t>
      </w:r>
    </w:p>
    <w:p>
      <w:pPr>
        <w:spacing w:after="240"/>
        <w:jc w:val="center"/>
      </w:pPr>
      <w:r>
        <w:rPr>
          <w:i/>
          <w:iCs/>
          <w:sz w:val="19"/>
          <w:szCs w:val="19"/>
        </w:rPr>
        <w:t xml:space="preserve">Dependencias: Hoja de Ruta v7.7-b (borrador) · Informe de Resultados v7.7-a (S10.1) · NT-01 rev. 3 · anexo tiempos_por_config.csv</w:t>
      </w:r>
    </w:p>
    <w:p>
      <w:pPr>
        <w:pBdr>
          <w:bottom w:val="single" w:color="AAAAAA" w:sz="6"/>
        </w:pBdr>
        <w:spacing w:after="160"/>
      </w:pPr>
    </w:p>
    <w:p>
      <w:pPr>
        <w:pStyle w:val="Heading1"/>
        <w:spacing w:after="140" w:before="280"/>
      </w:pPr>
      <w:r>
        <w:t xml:space="preserve">0. Alcance, estatus y conflicto de rol</w:t>
      </w:r>
    </w:p>
    <w:p>
      <w:pPr>
        <w:spacing w:after="120"/>
      </w:pPr>
      <w:r>
        <w:t xml:space="preserve">Este documento contiene cinco enmiendas propuestas (E1–E5) y una observación menor sobre el borrador de la Hoja de Ruta v7.7-b. No es una hoja de ruta, no reemplaza al borrador y no autoriza ninguna corrida. Cada enmienda queda en estado PROPUESTA hasta el fallo de Oaui y la revisión del segundo auditor.</w:t>
      </w:r>
    </w:p>
    <w:p>
      <w:pPr>
        <w:spacing w:after="120"/>
      </w:pPr>
      <w:r>
        <w:t xml:space="preserve">Conflicto de rol declarado: quien redacta esta nota es el auditor del borrador. Por eso las enmiendas se entregan como texto propuesto para que Oaui las adopte, modifique o rechace, y no como una reescritura del documento auditado. Un auditor que valida su propio texto deja de auditar. Si alguna enmienda se incorpora, la versión resultante debería pasar por el segundo auditor antes del congelamiento.</w:t>
      </w:r>
    </w:p>
    <w:p>
      <w:pPr>
        <w:spacing w:after="120"/>
      </w:pPr>
      <w:r>
        <w:t xml:space="preserve">Regla de proceso del programa que se mantiene: el congelamiento formal, con acta breve, es la única autorización de corrida.</w:t>
      </w:r>
    </w:p>
    <w:p>
      <w:pPr>
        <w:pStyle w:val="Heading1"/>
        <w:spacing w:after="140" w:before="280"/>
      </w:pPr>
      <w:r>
        <w:t xml:space="preserve">1. Verificación independiente de la aritmética prerregistrada</w:t>
      </w:r>
    </w:p>
    <w:p>
      <w:pPr>
        <w:spacing w:after="120"/>
      </w:pPr>
      <w:r>
        <w:t xml:space="preserve">Se recalcularon los quince valores de la tabla § 2.2 del borrador desde la regla del esquema conformal, con idx = techo((n_calib + 1)·p) − 1 acotado superiormente a n_calib − 1, y cobertura esperada = (idx + 1)/(n_calib + 1). El resultado reproduce el borrador dígito a dígito, incluidos los índices y los tres desvíos de C11.e (2,69 / 0,24 / 1,15 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1050"/>
        <w:gridCol w:w="2350"/>
        <w:gridCol w:w="3550"/>
        <w:gridCol w:w="1200"/>
      </w:tblGrid>
      <w:tr>
        <w:tc>
          <w:tcPr>
            <w:tcW w:type="dxa" w:w="850"/>
            <w:shd w:fill="E8E8E8" w:val="clear"/>
            <w:tcMar>
              <w:top w:type="dxa" w:w="60"/>
              <w:left w:type="dxa" w:w="100"/>
              <w:bottom w:type="dxa" w:w="60"/>
              <w:right w:type="dxa" w:w="100"/>
            </w:tcMar>
          </w:tcPr>
          <w:p>
            <w:pPr>
              <w:jc w:val="center"/>
            </w:pPr>
            <w:r>
              <w:rPr>
                <w:b/>
                <w:bCs/>
                <w:sz w:val="19"/>
                <w:szCs w:val="19"/>
              </w:rPr>
              <w:t xml:space="preserve">M</w:t>
            </w:r>
          </w:p>
        </w:tc>
        <w:tc>
          <w:tcPr>
            <w:tcW w:type="dxa" w:w="1050"/>
            <w:shd w:fill="E8E8E8" w:val="clear"/>
            <w:tcMar>
              <w:top w:type="dxa" w:w="60"/>
              <w:left w:type="dxa" w:w="100"/>
              <w:bottom w:type="dxa" w:w="60"/>
              <w:right w:type="dxa" w:w="100"/>
            </w:tcMar>
          </w:tcPr>
          <w:p>
            <w:pPr>
              <w:jc w:val="center"/>
            </w:pPr>
            <w:r>
              <w:rPr>
                <w:b/>
                <w:bCs/>
                <w:sz w:val="19"/>
                <w:szCs w:val="19"/>
              </w:rPr>
              <w:t xml:space="preserve">n_calib</w:t>
            </w:r>
          </w:p>
        </w:tc>
        <w:tc>
          <w:tcPr>
            <w:tcW w:type="dxa" w:w="2350"/>
            <w:shd w:fill="E8E8E8" w:val="clear"/>
            <w:tcMar>
              <w:top w:type="dxa" w:w="60"/>
              <w:left w:type="dxa" w:w="100"/>
              <w:bottom w:type="dxa" w:w="60"/>
              <w:right w:type="dxa" w:w="100"/>
            </w:tcMar>
          </w:tcPr>
          <w:p>
            <w:pPr>
              <w:jc w:val="center"/>
            </w:pPr>
            <w:r>
              <w:rPr>
                <w:b/>
                <w:bCs/>
                <w:sz w:val="19"/>
                <w:szCs w:val="19"/>
              </w:rPr>
              <w:t xml:space="preserve">Índices de umbral</w:t>
            </w:r>
          </w:p>
        </w:tc>
        <w:tc>
          <w:tcPr>
            <w:tcW w:type="dxa" w:w="3550"/>
            <w:shd w:fill="E8E8E8" w:val="clear"/>
            <w:tcMar>
              <w:top w:type="dxa" w:w="60"/>
              <w:left w:type="dxa" w:w="100"/>
              <w:bottom w:type="dxa" w:w="60"/>
              <w:right w:type="dxa" w:w="100"/>
            </w:tcMar>
          </w:tcPr>
          <w:p>
            <w:pPr>
              <w:jc w:val="center"/>
            </w:pPr>
            <w:r>
              <w:rPr>
                <w:b/>
                <w:bCs/>
                <w:sz w:val="19"/>
                <w:szCs w:val="19"/>
              </w:rPr>
              <w:t xml:space="preserve">Cobertura esperada (%) — 0,30 / 0,50 / 0,80 / 0,90 / 0,95</w:t>
            </w:r>
          </w:p>
        </w:tc>
        <w:tc>
          <w:tcPr>
            <w:tcW w:type="dxa" w:w="1200"/>
            <w:shd w:fill="E8E8E8" w:val="clear"/>
            <w:tcMar>
              <w:top w:type="dxa" w:w="60"/>
              <w:left w:type="dxa" w:w="100"/>
              <w:bottom w:type="dxa" w:w="60"/>
              <w:right w:type="dxa" w:w="100"/>
            </w:tcMar>
          </w:tcPr>
          <w:p>
            <w:pPr>
              <w:jc w:val="center"/>
            </w:pPr>
            <w:r>
              <w:rPr>
                <w:b/>
                <w:bCs/>
                <w:sz w:val="19"/>
                <w:szCs w:val="19"/>
              </w:rPr>
              <w:t xml:space="preserve">GTs de eval.</w:t>
            </w:r>
          </w:p>
        </w:tc>
      </w:tr>
      <w:tr>
        <w:tc>
          <w:tcPr>
            <w:tcW w:type="dxa" w:w="850"/>
            <w:tcMar>
              <w:top w:type="dxa" w:w="60"/>
              <w:left w:type="dxa" w:w="100"/>
              <w:bottom w:type="dxa" w:w="60"/>
              <w:right w:type="dxa" w:w="100"/>
            </w:tcMar>
          </w:tcPr>
          <w:p>
            <w:pPr>
              <w:jc w:val="left"/>
            </w:pPr>
            <w:r>
              <w:rPr>
                <w:b w:val="false"/>
                <w:bCs w:val="false"/>
                <w:sz w:val="19"/>
                <w:szCs w:val="19"/>
              </w:rPr>
              <w:t xml:space="preserve">25</w:t>
            </w:r>
          </w:p>
        </w:tc>
        <w:tc>
          <w:tcPr>
            <w:tcW w:type="dxa" w:w="1050"/>
            <w:tcMar>
              <w:top w:type="dxa" w:w="60"/>
              <w:left w:type="dxa" w:w="100"/>
              <w:bottom w:type="dxa" w:w="60"/>
              <w:right w:type="dxa" w:w="100"/>
            </w:tcMar>
          </w:tcPr>
          <w:p>
            <w:pPr>
              <w:jc w:val="center"/>
            </w:pPr>
            <w:r>
              <w:rPr>
                <w:b w:val="false"/>
                <w:bCs w:val="false"/>
                <w:sz w:val="19"/>
                <w:szCs w:val="19"/>
              </w:rPr>
              <w:t xml:space="preserve">12</w:t>
            </w:r>
          </w:p>
        </w:tc>
        <w:tc>
          <w:tcPr>
            <w:tcW w:type="dxa" w:w="2350"/>
            <w:tcMar>
              <w:top w:type="dxa" w:w="60"/>
              <w:left w:type="dxa" w:w="100"/>
              <w:bottom w:type="dxa" w:w="60"/>
              <w:right w:type="dxa" w:w="100"/>
            </w:tcMar>
          </w:tcPr>
          <w:p>
            <w:pPr>
              <w:jc w:val="center"/>
            </w:pPr>
            <w:r>
              <w:rPr>
                <w:b w:val="false"/>
                <w:bCs w:val="false"/>
                <w:sz w:val="19"/>
                <w:szCs w:val="19"/>
              </w:rPr>
              <w:t xml:space="preserve">{3, 6, 10, 11, 11}</w:t>
            </w:r>
          </w:p>
        </w:tc>
        <w:tc>
          <w:tcPr>
            <w:tcW w:type="dxa" w:w="3550"/>
            <w:tcMar>
              <w:top w:type="dxa" w:w="60"/>
              <w:left w:type="dxa" w:w="100"/>
              <w:bottom w:type="dxa" w:w="60"/>
              <w:right w:type="dxa" w:w="100"/>
            </w:tcMar>
          </w:tcPr>
          <w:p>
            <w:pPr>
              <w:jc w:val="center"/>
            </w:pPr>
            <w:r>
              <w:rPr>
                <w:b w:val="false"/>
                <w:bCs w:val="false"/>
                <w:sz w:val="19"/>
                <w:szCs w:val="19"/>
              </w:rPr>
              <w:t xml:space="preserve">30,77 / 53,85 / 84,62 / 92,31 / 92,31</w:t>
            </w:r>
          </w:p>
        </w:tc>
        <w:tc>
          <w:tcPr>
            <w:tcW w:type="dxa" w:w="1200"/>
            <w:tcMar>
              <w:top w:type="dxa" w:w="60"/>
              <w:left w:type="dxa" w:w="100"/>
              <w:bottom w:type="dxa" w:w="60"/>
              <w:right w:type="dxa" w:w="100"/>
            </w:tcMar>
          </w:tcPr>
          <w:p>
            <w:pPr>
              <w:jc w:val="center"/>
            </w:pPr>
            <w:r>
              <w:rPr>
                <w:b w:val="false"/>
                <w:bCs w:val="false"/>
                <w:sz w:val="19"/>
                <w:szCs w:val="19"/>
              </w:rPr>
              <w:t xml:space="preserve">13</w:t>
            </w:r>
          </w:p>
        </w:tc>
      </w:tr>
      <w:tr>
        <w:tc>
          <w:tcPr>
            <w:tcW w:type="dxa" w:w="850"/>
            <w:tcMar>
              <w:top w:type="dxa" w:w="60"/>
              <w:left w:type="dxa" w:w="100"/>
              <w:bottom w:type="dxa" w:w="60"/>
              <w:right w:type="dxa" w:w="100"/>
            </w:tcMar>
          </w:tcPr>
          <w:p>
            <w:pPr>
              <w:jc w:val="left"/>
            </w:pPr>
            <w:r>
              <w:rPr>
                <w:b w:val="false"/>
                <w:bCs w:val="false"/>
                <w:sz w:val="19"/>
                <w:szCs w:val="19"/>
              </w:rPr>
              <w:t xml:space="preserve">40</w:t>
            </w:r>
          </w:p>
        </w:tc>
        <w:tc>
          <w:tcPr>
            <w:tcW w:type="dxa" w:w="1050"/>
            <w:tcMar>
              <w:top w:type="dxa" w:w="60"/>
              <w:left w:type="dxa" w:w="100"/>
              <w:bottom w:type="dxa" w:w="60"/>
              <w:right w:type="dxa" w:w="100"/>
            </w:tcMar>
          </w:tcPr>
          <w:p>
            <w:pPr>
              <w:jc w:val="center"/>
            </w:pPr>
            <w:r>
              <w:rPr>
                <w:b w:val="false"/>
                <w:bCs w:val="false"/>
                <w:sz w:val="19"/>
                <w:szCs w:val="19"/>
              </w:rPr>
              <w:t xml:space="preserve">20</w:t>
            </w:r>
          </w:p>
        </w:tc>
        <w:tc>
          <w:tcPr>
            <w:tcW w:type="dxa" w:w="2350"/>
            <w:tcMar>
              <w:top w:type="dxa" w:w="60"/>
              <w:left w:type="dxa" w:w="100"/>
              <w:bottom w:type="dxa" w:w="60"/>
              <w:right w:type="dxa" w:w="100"/>
            </w:tcMar>
          </w:tcPr>
          <w:p>
            <w:pPr>
              <w:jc w:val="center"/>
            </w:pPr>
            <w:r>
              <w:rPr>
                <w:b w:val="false"/>
                <w:bCs w:val="false"/>
                <w:sz w:val="19"/>
                <w:szCs w:val="19"/>
              </w:rPr>
              <w:t xml:space="preserve">{6, 10, 16, 18, 19}</w:t>
            </w:r>
          </w:p>
        </w:tc>
        <w:tc>
          <w:tcPr>
            <w:tcW w:type="dxa" w:w="3550"/>
            <w:tcMar>
              <w:top w:type="dxa" w:w="60"/>
              <w:left w:type="dxa" w:w="100"/>
              <w:bottom w:type="dxa" w:w="60"/>
              <w:right w:type="dxa" w:w="100"/>
            </w:tcMar>
          </w:tcPr>
          <w:p>
            <w:pPr>
              <w:jc w:val="center"/>
            </w:pPr>
            <w:r>
              <w:rPr>
                <w:b w:val="false"/>
                <w:bCs w:val="false"/>
                <w:sz w:val="19"/>
                <w:szCs w:val="19"/>
              </w:rPr>
              <w:t xml:space="preserve">33,33 / 52,38 / 80,95 / 90,48 / 95,24</w:t>
            </w:r>
          </w:p>
        </w:tc>
        <w:tc>
          <w:tcPr>
            <w:tcW w:type="dxa" w:w="1200"/>
            <w:tcMar>
              <w:top w:type="dxa" w:w="60"/>
              <w:left w:type="dxa" w:w="100"/>
              <w:bottom w:type="dxa" w:w="60"/>
              <w:right w:type="dxa" w:w="100"/>
            </w:tcMar>
          </w:tcPr>
          <w:p>
            <w:pPr>
              <w:jc w:val="center"/>
            </w:pPr>
            <w:r>
              <w:rPr>
                <w:b w:val="false"/>
                <w:bCs w:val="false"/>
                <w:sz w:val="19"/>
                <w:szCs w:val="19"/>
              </w:rPr>
              <w:t xml:space="preserve">20</w:t>
            </w:r>
          </w:p>
        </w:tc>
      </w:tr>
      <w:tr>
        <w:tc>
          <w:tcPr>
            <w:tcW w:type="dxa" w:w="850"/>
            <w:tcMar>
              <w:top w:type="dxa" w:w="60"/>
              <w:left w:type="dxa" w:w="100"/>
              <w:bottom w:type="dxa" w:w="60"/>
              <w:right w:type="dxa" w:w="100"/>
            </w:tcMar>
          </w:tcPr>
          <w:p>
            <w:pPr>
              <w:jc w:val="left"/>
            </w:pPr>
            <w:r>
              <w:rPr>
                <w:b w:val="false"/>
                <w:bCs w:val="false"/>
                <w:sz w:val="19"/>
                <w:szCs w:val="19"/>
              </w:rPr>
              <w:t xml:space="preserve">50</w:t>
            </w:r>
          </w:p>
        </w:tc>
        <w:tc>
          <w:tcPr>
            <w:tcW w:type="dxa" w:w="1050"/>
            <w:tcMar>
              <w:top w:type="dxa" w:w="60"/>
              <w:left w:type="dxa" w:w="100"/>
              <w:bottom w:type="dxa" w:w="60"/>
              <w:right w:type="dxa" w:w="100"/>
            </w:tcMar>
          </w:tcPr>
          <w:p>
            <w:pPr>
              <w:jc w:val="center"/>
            </w:pPr>
            <w:r>
              <w:rPr>
                <w:b w:val="false"/>
                <w:bCs w:val="false"/>
                <w:sz w:val="19"/>
                <w:szCs w:val="19"/>
              </w:rPr>
              <w:t xml:space="preserve">25</w:t>
            </w:r>
          </w:p>
        </w:tc>
        <w:tc>
          <w:tcPr>
            <w:tcW w:type="dxa" w:w="2350"/>
            <w:tcMar>
              <w:top w:type="dxa" w:w="60"/>
              <w:left w:type="dxa" w:w="100"/>
              <w:bottom w:type="dxa" w:w="60"/>
              <w:right w:type="dxa" w:w="100"/>
            </w:tcMar>
          </w:tcPr>
          <w:p>
            <w:pPr>
              <w:jc w:val="center"/>
            </w:pPr>
            <w:r>
              <w:rPr>
                <w:b w:val="false"/>
                <w:bCs w:val="false"/>
                <w:sz w:val="19"/>
                <w:szCs w:val="19"/>
              </w:rPr>
              <w:t xml:space="preserve">{7, 12, 20, 23, 24}</w:t>
            </w:r>
          </w:p>
        </w:tc>
        <w:tc>
          <w:tcPr>
            <w:tcW w:type="dxa" w:w="3550"/>
            <w:tcMar>
              <w:top w:type="dxa" w:w="60"/>
              <w:left w:type="dxa" w:w="100"/>
              <w:bottom w:type="dxa" w:w="60"/>
              <w:right w:type="dxa" w:w="100"/>
            </w:tcMar>
          </w:tcPr>
          <w:p>
            <w:pPr>
              <w:jc w:val="center"/>
            </w:pPr>
            <w:r>
              <w:rPr>
                <w:b w:val="false"/>
                <w:bCs w:val="false"/>
                <w:sz w:val="19"/>
                <w:szCs w:val="19"/>
              </w:rPr>
              <w:t xml:space="preserve">30,77 / 50,00 / 80,77 / 92,31 / 96,15</w:t>
            </w:r>
          </w:p>
        </w:tc>
        <w:tc>
          <w:tcPr>
            <w:tcW w:type="dxa" w:w="1200"/>
            <w:tcMar>
              <w:top w:type="dxa" w:w="60"/>
              <w:left w:type="dxa" w:w="100"/>
              <w:bottom w:type="dxa" w:w="60"/>
              <w:right w:type="dxa" w:w="100"/>
            </w:tcMar>
          </w:tcPr>
          <w:p>
            <w:pPr>
              <w:jc w:val="center"/>
            </w:pPr>
            <w:r>
              <w:rPr>
                <w:b w:val="false"/>
                <w:bCs w:val="false"/>
                <w:sz w:val="19"/>
                <w:szCs w:val="19"/>
              </w:rPr>
              <w:t xml:space="preserve">25</w:t>
            </w:r>
          </w:p>
        </w:tc>
      </w:tr>
    </w:tbl>
    <w:p>
      <w:pPr>
        <w:spacing w:after="160"/>
      </w:pPr>
    </w:p>
    <w:p>
      <w:pPr>
        <w:spacing w:after="120"/>
      </w:pPr>
      <w:r>
        <w:t xml:space="preserve">Conclusión de esta sección: la base aritmética del experimento es correcta y no requiere enmienda. Las cinco enmiendas siguientes son sobre criterios, justificaciones y especificación, no sobre el cálculo.</w:t>
      </w:r>
    </w:p>
    <w:p>
      <w:pPr>
        <w:pStyle w:val="Heading1"/>
        <w:spacing w:after="140" w:before="280"/>
      </w:pPr>
      <w:r>
        <w:t xml:space="preserve">2. Enmiendas propuestas</w:t>
      </w:r>
    </w:p>
    <w:p>
      <w:pPr>
        <w:pStyle w:val="Heading2"/>
        <w:spacing w:after="140" w:before="280"/>
      </w:pPr>
      <w:r>
        <w:t xml:space="preserve">E1 (bloqueante). Reponer un criterio de tamaño de región</w:t>
      </w:r>
    </w:p>
    <w:p>
      <w:pPr>
        <w:spacing w:after="120"/>
      </w:pPr>
      <w:r>
        <w:rPr>
          <w:b/>
          <w:bCs/>
        </w:rPr>
        <w:t xml:space="preserve">Hallazgo. </w:t>
      </w:r>
      <w:r>
        <w:t xml:space="preserve">v7.7-a incluía C10.d sobre el proxy de tamaño. El borrador de v7.7-b no incluye ningún criterio de tamaño. La omisión es más grave aquí que en la etapa anterior: habilitar el nivel nominal 0,95 significa tomar un cuantil más alto del conjunto de calibración, lo que agranda las regiones por construcción.</w:t>
      </w:r>
    </w:p>
    <w:p>
      <w:pPr>
        <w:spacing w:after="120"/>
      </w:pPr>
      <w:r>
        <w:rPr>
          <w:b/>
          <w:bCs/>
        </w:rPr>
        <w:t xml:space="preserve">Consecuencia si no se enmienda. </w:t>
      </w:r>
      <w:r>
        <w:t xml:space="preserve">El escenario S11.1 puede declarar la grilla completa habilitada mientras el nivel recién habilitado es inútil por anchura. Una región arbitrariamente ancha también cubre el 95 %: la cobertura sola no distingue un instrumento de un enunciado vacío. El entregable declarado del experimento —que el nivel 0,95 quede disponible para el programa— no es verificable sin una medida de agudeza.</w:t>
      </w:r>
    </w:p>
    <w:p>
      <w:pPr>
        <w:spacing w:after="120"/>
      </w:pPr>
      <w:r>
        <w:rPr>
          <w:b/>
          <w:bCs/>
        </w:rPr>
        <w:t xml:space="preserve">Texto propuesto (nuevo criterio en § 3). </w:t>
      </w:r>
      <w:r>
        <w:t xml:space="preserve">C11.f (vinculante): el proxy de tamaño se reporta desagregado por nivel de la grilla y por M, informando mediana y cuartiles de la distribución, no solo la fracción de celdas bajo el umbral. Se exige, además de la fracción ≥ 80 % de celdas con proxy ≤ 1,0 en los tres M, que la mediana del proxy en el nivel 0,95 a M = 40 y M = 50 no supere en más de un factor declarado a la mediana del nivel 0,90 en el mismo M.</w:t>
      </w:r>
    </w:p>
    <w:p>
      <w:pPr>
        <w:spacing w:after="120"/>
      </w:pPr>
      <w:r>
        <w:rPr>
          <w:b/>
          <w:bCs/>
        </w:rPr>
        <w:t xml:space="preserve">Nota de calibración del umbral. </w:t>
      </w:r>
      <w:r>
        <w:t xml:space="preserve">El factor de la segunda mitad del criterio debe fijarse antes de correr y a partir de las distribuciones de proxy ya existentes en mtps_c_v7_7a_table_cells.csv, no elegirse después de ver los resultados. Si no se dispone de una base para fijarlo, la alternativa honesta es declarar C11.f como instrumental —reporte obligatorio de la distribución— y dejar el umbral para v7.7-c.</w:t>
      </w:r>
    </w:p>
    <w:p>
      <w:pPr>
        <w:pStyle w:val="Heading2"/>
        <w:spacing w:after="140" w:before="280"/>
      </w:pPr>
      <w:r>
        <w:t xml:space="preserve">E2. Corregir la justificación de D5 (elección de M para v7.7-c)</w:t>
      </w:r>
    </w:p>
    <w:p>
      <w:pPr>
        <w:spacing w:after="120"/>
      </w:pPr>
      <w:r>
        <w:rPr>
          <w:b/>
          <w:bCs/>
        </w:rPr>
        <w:t xml:space="preserve">Hallazgo. </w:t>
      </w:r>
      <w:r>
        <w:t xml:space="preserve">El escenario S11.1 prescribe que v7.7-c herede M = 40 porque "alcanza el nominal 0,95 con el mínimo desvío esperado". Esa afirmación es verdadera únicamente en el nivel alto. Sumando el desvío estructural sobre los cinco niveles de la grilla, M = 50 tiene menor desvío total que M = 40 y lo supera en tres de los cinco niveles.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250"/>
        <w:gridCol w:w="1250"/>
        <w:gridCol w:w="1250"/>
        <w:gridCol w:w="1250"/>
        <w:gridCol w:w="1850"/>
      </w:tblGrid>
      <w:tr>
        <w:tc>
          <w:tcPr>
            <w:tcW w:type="dxa" w:w="900"/>
            <w:shd w:fill="E8E8E8" w:val="clear"/>
            <w:tcMar>
              <w:top w:type="dxa" w:w="60"/>
              <w:left w:type="dxa" w:w="100"/>
              <w:bottom w:type="dxa" w:w="60"/>
              <w:right w:type="dxa" w:w="100"/>
            </w:tcMar>
          </w:tcPr>
          <w:p>
            <w:pPr>
              <w:jc w:val="center"/>
            </w:pPr>
            <w:r>
              <w:rPr>
                <w:b/>
                <w:bCs/>
                <w:sz w:val="19"/>
                <w:szCs w:val="19"/>
              </w:rPr>
              <w:t xml:space="preserve">M</w:t>
            </w:r>
          </w:p>
        </w:tc>
        <w:tc>
          <w:tcPr>
            <w:tcW w:type="dxa" w:w="1250"/>
            <w:shd w:fill="E8E8E8" w:val="clear"/>
            <w:tcMar>
              <w:top w:type="dxa" w:w="60"/>
              <w:left w:type="dxa" w:w="100"/>
              <w:bottom w:type="dxa" w:w="60"/>
              <w:right w:type="dxa" w:w="100"/>
            </w:tcMar>
          </w:tcPr>
          <w:p>
            <w:pPr>
              <w:jc w:val="center"/>
            </w:pPr>
            <w:r>
              <w:rPr>
                <w:b/>
                <w:bCs/>
                <w:sz w:val="19"/>
                <w:szCs w:val="19"/>
              </w:rPr>
              <w:t xml:space="preserve">0,30</w:t>
            </w:r>
          </w:p>
        </w:tc>
        <w:tc>
          <w:tcPr>
            <w:tcW w:type="dxa" w:w="1250"/>
            <w:shd w:fill="E8E8E8" w:val="clear"/>
            <w:tcMar>
              <w:top w:type="dxa" w:w="60"/>
              <w:left w:type="dxa" w:w="100"/>
              <w:bottom w:type="dxa" w:w="60"/>
              <w:right w:type="dxa" w:w="100"/>
            </w:tcMar>
          </w:tcPr>
          <w:p>
            <w:pPr>
              <w:jc w:val="center"/>
            </w:pPr>
            <w:r>
              <w:rPr>
                <w:b/>
                <w:bCs/>
                <w:sz w:val="19"/>
                <w:szCs w:val="19"/>
              </w:rPr>
              <w:t xml:space="preserve">0,50</w:t>
            </w:r>
          </w:p>
        </w:tc>
        <w:tc>
          <w:tcPr>
            <w:tcW w:type="dxa" w:w="1250"/>
            <w:shd w:fill="E8E8E8" w:val="clear"/>
            <w:tcMar>
              <w:top w:type="dxa" w:w="60"/>
              <w:left w:type="dxa" w:w="100"/>
              <w:bottom w:type="dxa" w:w="60"/>
              <w:right w:type="dxa" w:w="100"/>
            </w:tcMar>
          </w:tcPr>
          <w:p>
            <w:pPr>
              <w:jc w:val="center"/>
            </w:pPr>
            <w:r>
              <w:rPr>
                <w:b/>
                <w:bCs/>
                <w:sz w:val="19"/>
                <w:szCs w:val="19"/>
              </w:rPr>
              <w:t xml:space="preserve">0,80</w:t>
            </w:r>
          </w:p>
        </w:tc>
        <w:tc>
          <w:tcPr>
            <w:tcW w:type="dxa" w:w="1250"/>
            <w:shd w:fill="E8E8E8" w:val="clear"/>
            <w:tcMar>
              <w:top w:type="dxa" w:w="60"/>
              <w:left w:type="dxa" w:w="100"/>
              <w:bottom w:type="dxa" w:w="60"/>
              <w:right w:type="dxa" w:w="100"/>
            </w:tcMar>
          </w:tcPr>
          <w:p>
            <w:pPr>
              <w:jc w:val="center"/>
            </w:pPr>
            <w:r>
              <w:rPr>
                <w:b/>
                <w:bCs/>
                <w:sz w:val="19"/>
                <w:szCs w:val="19"/>
              </w:rPr>
              <w:t xml:space="preserve">0,90</w:t>
            </w:r>
          </w:p>
        </w:tc>
        <w:tc>
          <w:tcPr>
            <w:tcW w:type="dxa" w:w="1250"/>
            <w:shd w:fill="E8E8E8" w:val="clear"/>
            <w:tcMar>
              <w:top w:type="dxa" w:w="60"/>
              <w:left w:type="dxa" w:w="100"/>
              <w:bottom w:type="dxa" w:w="60"/>
              <w:right w:type="dxa" w:w="100"/>
            </w:tcMar>
          </w:tcPr>
          <w:p>
            <w:pPr>
              <w:jc w:val="center"/>
            </w:pPr>
            <w:r>
              <w:rPr>
                <w:b/>
                <w:bCs/>
                <w:sz w:val="19"/>
                <w:szCs w:val="19"/>
              </w:rPr>
              <w:t xml:space="preserve">0,95</w:t>
            </w:r>
          </w:p>
        </w:tc>
        <w:tc>
          <w:tcPr>
            <w:tcW w:type="dxa" w:w="1850"/>
            <w:shd w:fill="E8E8E8" w:val="clear"/>
            <w:tcMar>
              <w:top w:type="dxa" w:w="60"/>
              <w:left w:type="dxa" w:w="100"/>
              <w:bottom w:type="dxa" w:w="60"/>
              <w:right w:type="dxa" w:w="100"/>
            </w:tcMar>
          </w:tcPr>
          <w:p>
            <w:pPr>
              <w:jc w:val="center"/>
            </w:pPr>
            <w:r>
              <w:rPr>
                <w:b/>
                <w:bCs/>
                <w:sz w:val="19"/>
                <w:szCs w:val="19"/>
              </w:rPr>
              <w:t xml:space="preserve">Suma |desvío|</w:t>
            </w:r>
          </w:p>
        </w:tc>
      </w:tr>
      <w:tr>
        <w:tc>
          <w:tcPr>
            <w:tcW w:type="dxa" w:w="900"/>
            <w:tcMar>
              <w:top w:type="dxa" w:w="60"/>
              <w:left w:type="dxa" w:w="100"/>
              <w:bottom w:type="dxa" w:w="60"/>
              <w:right w:type="dxa" w:w="100"/>
            </w:tcMar>
          </w:tcPr>
          <w:p>
            <w:pPr>
              <w:jc w:val="left"/>
            </w:pPr>
            <w:r>
              <w:rPr>
                <w:b w:val="false"/>
                <w:bCs w:val="false"/>
                <w:sz w:val="19"/>
                <w:szCs w:val="19"/>
              </w:rPr>
              <w:t xml:space="preserve">25</w:t>
            </w:r>
          </w:p>
        </w:tc>
        <w:tc>
          <w:tcPr>
            <w:tcW w:type="dxa" w:w="1250"/>
            <w:tcMar>
              <w:top w:type="dxa" w:w="60"/>
              <w:left w:type="dxa" w:w="100"/>
              <w:bottom w:type="dxa" w:w="60"/>
              <w:right w:type="dxa" w:w="100"/>
            </w:tcMar>
          </w:tcPr>
          <w:p>
            <w:pPr>
              <w:jc w:val="center"/>
            </w:pPr>
            <w:r>
              <w:rPr>
                <w:b w:val="false"/>
                <w:bCs w:val="false"/>
                <w:sz w:val="19"/>
                <w:szCs w:val="19"/>
              </w:rPr>
              <w:t xml:space="preserve">0,77</w:t>
            </w:r>
          </w:p>
        </w:tc>
        <w:tc>
          <w:tcPr>
            <w:tcW w:type="dxa" w:w="1250"/>
            <w:tcMar>
              <w:top w:type="dxa" w:w="60"/>
              <w:left w:type="dxa" w:w="100"/>
              <w:bottom w:type="dxa" w:w="60"/>
              <w:right w:type="dxa" w:w="100"/>
            </w:tcMar>
          </w:tcPr>
          <w:p>
            <w:pPr>
              <w:jc w:val="center"/>
            </w:pPr>
            <w:r>
              <w:rPr>
                <w:b w:val="false"/>
                <w:bCs w:val="false"/>
                <w:sz w:val="19"/>
                <w:szCs w:val="19"/>
              </w:rPr>
              <w:t xml:space="preserve">3,85</w:t>
            </w:r>
          </w:p>
        </w:tc>
        <w:tc>
          <w:tcPr>
            <w:tcW w:type="dxa" w:w="1250"/>
            <w:tcMar>
              <w:top w:type="dxa" w:w="60"/>
              <w:left w:type="dxa" w:w="100"/>
              <w:bottom w:type="dxa" w:w="60"/>
              <w:right w:type="dxa" w:w="100"/>
            </w:tcMar>
          </w:tcPr>
          <w:p>
            <w:pPr>
              <w:jc w:val="center"/>
            </w:pPr>
            <w:r>
              <w:rPr>
                <w:b w:val="false"/>
                <w:bCs w:val="false"/>
                <w:sz w:val="19"/>
                <w:szCs w:val="19"/>
              </w:rPr>
              <w:t xml:space="preserve">4,62</w:t>
            </w:r>
          </w:p>
        </w:tc>
        <w:tc>
          <w:tcPr>
            <w:tcW w:type="dxa" w:w="1250"/>
            <w:tcMar>
              <w:top w:type="dxa" w:w="60"/>
              <w:left w:type="dxa" w:w="100"/>
              <w:bottom w:type="dxa" w:w="60"/>
              <w:right w:type="dxa" w:w="100"/>
            </w:tcMar>
          </w:tcPr>
          <w:p>
            <w:pPr>
              <w:jc w:val="center"/>
            </w:pPr>
            <w:r>
              <w:rPr>
                <w:b w:val="false"/>
                <w:bCs w:val="false"/>
                <w:sz w:val="19"/>
                <w:szCs w:val="19"/>
              </w:rPr>
              <w:t xml:space="preserve">2,31</w:t>
            </w:r>
          </w:p>
        </w:tc>
        <w:tc>
          <w:tcPr>
            <w:tcW w:type="dxa" w:w="1250"/>
            <w:tcMar>
              <w:top w:type="dxa" w:w="60"/>
              <w:left w:type="dxa" w:w="100"/>
              <w:bottom w:type="dxa" w:w="60"/>
              <w:right w:type="dxa" w:w="100"/>
            </w:tcMar>
          </w:tcPr>
          <w:p>
            <w:pPr>
              <w:jc w:val="center"/>
            </w:pPr>
            <w:r>
              <w:rPr>
                <w:b w:val="false"/>
                <w:bCs w:val="false"/>
                <w:sz w:val="19"/>
                <w:szCs w:val="19"/>
              </w:rPr>
              <w:t xml:space="preserve">2,69</w:t>
            </w:r>
          </w:p>
        </w:tc>
        <w:tc>
          <w:tcPr>
            <w:tcW w:type="dxa" w:w="1850"/>
            <w:tcMar>
              <w:top w:type="dxa" w:w="60"/>
              <w:left w:type="dxa" w:w="100"/>
              <w:bottom w:type="dxa" w:w="60"/>
              <w:right w:type="dxa" w:w="100"/>
            </w:tcMar>
          </w:tcPr>
          <w:p>
            <w:pPr>
              <w:jc w:val="center"/>
            </w:pPr>
            <w:r>
              <w:rPr>
                <w:b w:val="false"/>
                <w:bCs w:val="false"/>
                <w:sz w:val="19"/>
                <w:szCs w:val="19"/>
              </w:rPr>
              <w:t xml:space="preserve">14,24 pp</w:t>
            </w:r>
          </w:p>
        </w:tc>
      </w:tr>
      <w:tr>
        <w:tc>
          <w:tcPr>
            <w:tcW w:type="dxa" w:w="900"/>
            <w:tcMar>
              <w:top w:type="dxa" w:w="60"/>
              <w:left w:type="dxa" w:w="100"/>
              <w:bottom w:type="dxa" w:w="60"/>
              <w:right w:type="dxa" w:w="100"/>
            </w:tcMar>
          </w:tcPr>
          <w:p>
            <w:pPr>
              <w:jc w:val="left"/>
            </w:pPr>
            <w:r>
              <w:rPr>
                <w:b w:val="false"/>
                <w:bCs w:val="false"/>
                <w:sz w:val="19"/>
                <w:szCs w:val="19"/>
              </w:rPr>
              <w:t xml:space="preserve">40</w:t>
            </w:r>
          </w:p>
        </w:tc>
        <w:tc>
          <w:tcPr>
            <w:tcW w:type="dxa" w:w="1250"/>
            <w:tcMar>
              <w:top w:type="dxa" w:w="60"/>
              <w:left w:type="dxa" w:w="100"/>
              <w:bottom w:type="dxa" w:w="60"/>
              <w:right w:type="dxa" w:w="100"/>
            </w:tcMar>
          </w:tcPr>
          <w:p>
            <w:pPr>
              <w:jc w:val="center"/>
            </w:pPr>
            <w:r>
              <w:rPr>
                <w:b w:val="false"/>
                <w:bCs w:val="false"/>
                <w:sz w:val="19"/>
                <w:szCs w:val="19"/>
              </w:rPr>
              <w:t xml:space="preserve">3,33</w:t>
            </w:r>
          </w:p>
        </w:tc>
        <w:tc>
          <w:tcPr>
            <w:tcW w:type="dxa" w:w="1250"/>
            <w:tcMar>
              <w:top w:type="dxa" w:w="60"/>
              <w:left w:type="dxa" w:w="100"/>
              <w:bottom w:type="dxa" w:w="60"/>
              <w:right w:type="dxa" w:w="100"/>
            </w:tcMar>
          </w:tcPr>
          <w:p>
            <w:pPr>
              <w:jc w:val="center"/>
            </w:pPr>
            <w:r>
              <w:rPr>
                <w:b w:val="false"/>
                <w:bCs w:val="false"/>
                <w:sz w:val="19"/>
                <w:szCs w:val="19"/>
              </w:rPr>
              <w:t xml:space="preserve">2,38</w:t>
            </w:r>
          </w:p>
        </w:tc>
        <w:tc>
          <w:tcPr>
            <w:tcW w:type="dxa" w:w="1250"/>
            <w:tcMar>
              <w:top w:type="dxa" w:w="60"/>
              <w:left w:type="dxa" w:w="100"/>
              <w:bottom w:type="dxa" w:w="60"/>
              <w:right w:type="dxa" w:w="100"/>
            </w:tcMar>
          </w:tcPr>
          <w:p>
            <w:pPr>
              <w:jc w:val="center"/>
            </w:pPr>
            <w:r>
              <w:rPr>
                <w:b w:val="false"/>
                <w:bCs w:val="false"/>
                <w:sz w:val="19"/>
                <w:szCs w:val="19"/>
              </w:rPr>
              <w:t xml:space="preserve">0,95</w:t>
            </w:r>
          </w:p>
        </w:tc>
        <w:tc>
          <w:tcPr>
            <w:tcW w:type="dxa" w:w="1250"/>
            <w:tcMar>
              <w:top w:type="dxa" w:w="60"/>
              <w:left w:type="dxa" w:w="100"/>
              <w:bottom w:type="dxa" w:w="60"/>
              <w:right w:type="dxa" w:w="100"/>
            </w:tcMar>
          </w:tcPr>
          <w:p>
            <w:pPr>
              <w:jc w:val="center"/>
            </w:pPr>
            <w:r>
              <w:rPr>
                <w:b w:val="false"/>
                <w:bCs w:val="false"/>
                <w:sz w:val="19"/>
                <w:szCs w:val="19"/>
              </w:rPr>
              <w:t xml:space="preserve">0,48</w:t>
            </w:r>
          </w:p>
        </w:tc>
        <w:tc>
          <w:tcPr>
            <w:tcW w:type="dxa" w:w="1250"/>
            <w:tcMar>
              <w:top w:type="dxa" w:w="60"/>
              <w:left w:type="dxa" w:w="100"/>
              <w:bottom w:type="dxa" w:w="60"/>
              <w:right w:type="dxa" w:w="100"/>
            </w:tcMar>
          </w:tcPr>
          <w:p>
            <w:pPr>
              <w:jc w:val="center"/>
            </w:pPr>
            <w:r>
              <w:rPr>
                <w:b w:val="false"/>
                <w:bCs w:val="false"/>
                <w:sz w:val="19"/>
                <w:szCs w:val="19"/>
              </w:rPr>
              <w:t xml:space="preserve">0,24</w:t>
            </w:r>
          </w:p>
        </w:tc>
        <w:tc>
          <w:tcPr>
            <w:tcW w:type="dxa" w:w="1850"/>
            <w:tcMar>
              <w:top w:type="dxa" w:w="60"/>
              <w:left w:type="dxa" w:w="100"/>
              <w:bottom w:type="dxa" w:w="60"/>
              <w:right w:type="dxa" w:w="100"/>
            </w:tcMar>
          </w:tcPr>
          <w:p>
            <w:pPr>
              <w:jc w:val="center"/>
            </w:pPr>
            <w:r>
              <w:rPr>
                <w:b w:val="false"/>
                <w:bCs w:val="false"/>
                <w:sz w:val="19"/>
                <w:szCs w:val="19"/>
              </w:rPr>
              <w:t xml:space="preserve">7,38 pp</w:t>
            </w:r>
          </w:p>
        </w:tc>
      </w:tr>
      <w:tr>
        <w:tc>
          <w:tcPr>
            <w:tcW w:type="dxa" w:w="900"/>
            <w:tcMar>
              <w:top w:type="dxa" w:w="60"/>
              <w:left w:type="dxa" w:w="100"/>
              <w:bottom w:type="dxa" w:w="60"/>
              <w:right w:type="dxa" w:w="100"/>
            </w:tcMar>
          </w:tcPr>
          <w:p>
            <w:pPr>
              <w:jc w:val="left"/>
            </w:pPr>
            <w:r>
              <w:rPr>
                <w:b w:val="false"/>
                <w:bCs w:val="false"/>
                <w:sz w:val="19"/>
                <w:szCs w:val="19"/>
              </w:rPr>
              <w:t xml:space="preserve">50</w:t>
            </w:r>
          </w:p>
        </w:tc>
        <w:tc>
          <w:tcPr>
            <w:tcW w:type="dxa" w:w="1250"/>
            <w:tcMar>
              <w:top w:type="dxa" w:w="60"/>
              <w:left w:type="dxa" w:w="100"/>
              <w:bottom w:type="dxa" w:w="60"/>
              <w:right w:type="dxa" w:w="100"/>
            </w:tcMar>
          </w:tcPr>
          <w:p>
            <w:pPr>
              <w:jc w:val="center"/>
            </w:pPr>
            <w:r>
              <w:rPr>
                <w:b w:val="false"/>
                <w:bCs w:val="false"/>
                <w:sz w:val="19"/>
                <w:szCs w:val="19"/>
              </w:rPr>
              <w:t xml:space="preserve">0,77</w:t>
            </w:r>
          </w:p>
        </w:tc>
        <w:tc>
          <w:tcPr>
            <w:tcW w:type="dxa" w:w="1250"/>
            <w:tcMar>
              <w:top w:type="dxa" w:w="60"/>
              <w:left w:type="dxa" w:w="100"/>
              <w:bottom w:type="dxa" w:w="60"/>
              <w:right w:type="dxa" w:w="100"/>
            </w:tcMar>
          </w:tcPr>
          <w:p>
            <w:pPr>
              <w:jc w:val="center"/>
            </w:pPr>
            <w:r>
              <w:rPr>
                <w:b w:val="false"/>
                <w:bCs w:val="false"/>
                <w:sz w:val="19"/>
                <w:szCs w:val="19"/>
              </w:rPr>
              <w:t xml:space="preserve">0,00</w:t>
            </w:r>
          </w:p>
        </w:tc>
        <w:tc>
          <w:tcPr>
            <w:tcW w:type="dxa" w:w="1250"/>
            <w:tcMar>
              <w:top w:type="dxa" w:w="60"/>
              <w:left w:type="dxa" w:w="100"/>
              <w:bottom w:type="dxa" w:w="60"/>
              <w:right w:type="dxa" w:w="100"/>
            </w:tcMar>
          </w:tcPr>
          <w:p>
            <w:pPr>
              <w:jc w:val="center"/>
            </w:pPr>
            <w:r>
              <w:rPr>
                <w:b w:val="false"/>
                <w:bCs w:val="false"/>
                <w:sz w:val="19"/>
                <w:szCs w:val="19"/>
              </w:rPr>
              <w:t xml:space="preserve">0,77</w:t>
            </w:r>
          </w:p>
        </w:tc>
        <w:tc>
          <w:tcPr>
            <w:tcW w:type="dxa" w:w="1250"/>
            <w:tcMar>
              <w:top w:type="dxa" w:w="60"/>
              <w:left w:type="dxa" w:w="100"/>
              <w:bottom w:type="dxa" w:w="60"/>
              <w:right w:type="dxa" w:w="100"/>
            </w:tcMar>
          </w:tcPr>
          <w:p>
            <w:pPr>
              <w:jc w:val="center"/>
            </w:pPr>
            <w:r>
              <w:rPr>
                <w:b w:val="false"/>
                <w:bCs w:val="false"/>
                <w:sz w:val="19"/>
                <w:szCs w:val="19"/>
              </w:rPr>
              <w:t xml:space="preserve">2,31</w:t>
            </w:r>
          </w:p>
        </w:tc>
        <w:tc>
          <w:tcPr>
            <w:tcW w:type="dxa" w:w="1250"/>
            <w:tcMar>
              <w:top w:type="dxa" w:w="60"/>
              <w:left w:type="dxa" w:w="100"/>
              <w:bottom w:type="dxa" w:w="60"/>
              <w:right w:type="dxa" w:w="100"/>
            </w:tcMar>
          </w:tcPr>
          <w:p>
            <w:pPr>
              <w:jc w:val="center"/>
            </w:pPr>
            <w:r>
              <w:rPr>
                <w:b w:val="false"/>
                <w:bCs w:val="false"/>
                <w:sz w:val="19"/>
                <w:szCs w:val="19"/>
              </w:rPr>
              <w:t xml:space="preserve">1,15</w:t>
            </w:r>
          </w:p>
        </w:tc>
        <w:tc>
          <w:tcPr>
            <w:tcW w:type="dxa" w:w="1850"/>
            <w:tcMar>
              <w:top w:type="dxa" w:w="60"/>
              <w:left w:type="dxa" w:w="100"/>
              <w:bottom w:type="dxa" w:w="60"/>
              <w:right w:type="dxa" w:w="100"/>
            </w:tcMar>
          </w:tcPr>
          <w:p>
            <w:pPr>
              <w:jc w:val="center"/>
            </w:pPr>
            <w:r>
              <w:rPr>
                <w:b w:val="false"/>
                <w:bCs w:val="false"/>
                <w:sz w:val="19"/>
                <w:szCs w:val="19"/>
              </w:rPr>
              <w:t xml:space="preserve">5,00 pp</w:t>
            </w:r>
          </w:p>
        </w:tc>
      </w:tr>
    </w:tbl>
    <w:p>
      <w:pPr>
        <w:spacing w:after="160"/>
      </w:pPr>
    </w:p>
    <w:p>
      <w:pPr>
        <w:spacing w:after="120"/>
      </w:pPr>
      <w:r>
        <w:t xml:space="preserve">Desvío estructural en puntos porcentuales entre la cobertura esperada y el nivel nominal, calculado desde la tabla verificada en § 1. M = 40 gana en 0,90 y 0,95; M = 50 gana en 0,30, 0,50 y 0,80.</w:t>
      </w:r>
    </w:p>
    <w:p>
      <w:pPr>
        <w:spacing w:after="120"/>
      </w:pPr>
      <w:r>
        <w:rPr>
          <w:b/>
          <w:bCs/>
        </w:rPr>
        <w:t xml:space="preserve">Texto propuesto (reemplazo en S11.1). </w:t>
      </w:r>
      <w:r>
        <w:t xml:space="preserve">v7.7-c hereda M = 40 por dos razones declaradas: es el valor con menor desvío esperado en el nivel alto de la grilla —0,24 pp frente a 1,15 pp de sobrepaso en M = 50—, que es el nivel cuya habilitación motiva este experimento, y tiene el menor costo adicional, +60 % de la porción de ground truths frente a +100 %. Se registra explícitamente que M = 50 presenta menor desvío estructural agregado sobre los cinco niveles (5,00 pp frente a 7,38 pp) y menor desvío en los tres niveles bajos, de modo que la elección de M = 40 es una priorización declarada del nivel alto y del costo, no una dominancia sobre toda la grilla.</w:t>
      </w:r>
    </w:p>
    <w:p>
      <w:pPr>
        <w:spacing w:after="120"/>
      </w:pPr>
      <w:r>
        <w:t xml:space="preserve">La decisión de fondo puede seguir siendo M = 40. Lo que la enmienda corrige es la fundamentación: tal como está escrita, afirma más de lo que la aritmética sostiene.</w:t>
      </w:r>
    </w:p>
    <w:p>
      <w:pPr>
        <w:pStyle w:val="Heading2"/>
        <w:spacing w:after="140" w:before="280"/>
      </w:pPr>
      <w:r>
        <w:t xml:space="preserve">E3. Rederivar la banda de ±2 pp de C11.b</w:t>
      </w:r>
    </w:p>
    <w:p>
      <w:pPr>
        <w:spacing w:after="120"/>
      </w:pPr>
      <w:r>
        <w:rPr>
          <w:b/>
          <w:bCs/>
        </w:rPr>
        <w:t xml:space="preserve">Hallazgo. </w:t>
      </w:r>
      <w:r>
        <w:t xml:space="preserve">La banda de ±2 pp se justifica en el borrador porque "en v7.7-a las tres realizaciones del nivel colapsado cayeron a menos de 0,5 pp del valor esperado". Esas tres realizaciones proceden de las mismas 60 configuraciones, con las mismas semillas y los mismos ground truths: entre ellas solo cambió N. No son tres réplicas independientes, sino tres observaciones que comparten casi toda su aleatoriedad, por lo que su concordancia refleja esa dependencia antes que la variabilidad muestral del estimador.</w:t>
      </w:r>
    </w:p>
    <w:p>
      <w:pPr>
        <w:spacing w:after="120"/>
      </w:pPr>
      <w:r>
        <w:rPr>
          <w:b/>
          <w:bCs/>
        </w:rPr>
        <w:t xml:space="preserve">Consecuencia si no se enmienda. </w:t>
      </w:r>
      <w:r>
        <w:t xml:space="preserve">La banda queda anclada en una dispersión subestimada. Un criterio vinculante cuya tolerancia se derivó de observaciones dependientes puede fallar por ruido, o —peor para la interpretación— pasar sin que sepamos cuánto del margen es señal.</w:t>
      </w:r>
    </w:p>
    <w:p>
      <w:pPr>
        <w:spacing w:after="120"/>
      </w:pPr>
      <w:r>
        <w:rPr>
          <w:b/>
          <w:bCs/>
        </w:rPr>
        <w:t xml:space="preserve">Texto propuesto (justificación de C11.b en § 3). </w:t>
      </w:r>
      <w:r>
        <w:t xml:space="preserve">La banda se deriva de la dispersión entre configuraciones, no de la concordancia entre corridas: se estima por bootstrap sobre las 60 configuraciones de la table_long.csv existente de v7.7-a, remuestreando configuraciones y no ground truths individuales, dado que los ground truths dentro de una configuración están correlacionados por construcción. El valor resultante se fija en este documento antes del congelamiento. Si el intervalo estimado excede ±2 pp, se adopta el valor estimado y se declara el cambio; si es menor, se conserva ±2 pp como banda conservadora.</w:t>
      </w:r>
    </w:p>
    <w:p>
      <w:pPr>
        <w:spacing w:after="120"/>
      </w:pPr>
      <w:r>
        <w:t xml:space="preserve">Este cálculo no requiere cómputo nuevo: se hace sobre un archivo que ya existe, antes de correr, y su resultado queda prerregistrado.</w:t>
      </w:r>
    </w:p>
    <w:p>
      <w:pPr>
        <w:pStyle w:val="Heading2"/>
        <w:spacing w:after="140" w:before="280"/>
      </w:pPr>
      <w:r>
        <w:t xml:space="preserve">E4. Extender G11 a comparación por configuración y por celda</w:t>
      </w:r>
    </w:p>
    <w:p>
      <w:pPr>
        <w:spacing w:after="120"/>
      </w:pPr>
      <w:r>
        <w:rPr>
          <w:b/>
          <w:bCs/>
        </w:rPr>
        <w:t xml:space="preserve">Hallazgo. </w:t>
      </w:r>
      <w:r>
        <w:t xml:space="preserve">G11 exige que las métricas agregadas del par de brazos con M = 25 reproduzcan las del stage 1 de v7.7-a dígito a dígito. Los agregados pueden coincidir con celdas individuales distintas; una puerta de regresión sobre promedios es estrictamente más débil que una sobre filas.</w:t>
      </w:r>
    </w:p>
    <w:p>
      <w:pPr>
        <w:spacing w:after="120"/>
      </w:pPr>
      <w:r>
        <w:rPr>
          <w:b/>
          <w:bCs/>
        </w:rPr>
        <w:t xml:space="preserve">Precedente del programa. </w:t>
      </w:r>
      <w:r>
        <w:t xml:space="preserve">La puerta de regresión del cierre del MTPS financiero comparó probabilidades fila por fila con tolerancia absoluta declarada, además de fechas y clases observadas. Ese nivel de exigencia es el que sostuvo la validez de aquel cierre y es replicable aquí sin costo de cómputo adicional, porque el brazo M = 25 se corre igual.</w:t>
      </w:r>
    </w:p>
    <w:p>
      <w:pPr>
        <w:spacing w:after="120"/>
      </w:pPr>
      <w:r>
        <w:rPr>
          <w:b/>
          <w:bCs/>
        </w:rPr>
        <w:t xml:space="preserve">Texto propuesto (reemplazo de G11 en § 3). </w:t>
      </w:r>
      <w:r>
        <w:t xml:space="preserve">G11 — puerta de regresión (aborta el experimento): con M = 25, ambos brazos deben reproducir el stage 1 de v7.7-a en tres niveles de comparación, verificados en este orden: identidad del conjunto de configuraciones evaluadas y de sus identificadores; igualdad por configuración y por celda de coberturas y umbrales, con tolerancia absoluta declarada; e igualdad dígito a dígito de las métricas agregadas. El fallo de cualquiera de los tres emite un artefacto de aborto y detiene el experimento antes de ejecutar M = 40 y M = 50.</w:t>
      </w:r>
    </w:p>
    <w:p>
      <w:pPr>
        <w:pStyle w:val="Heading2"/>
        <w:spacing w:after="140" w:before="280"/>
      </w:pPr>
      <w:r>
        <w:t xml:space="preserve">E5. Especificar el conjunto de evaluación del brazo de control</w:t>
      </w:r>
    </w:p>
    <w:p>
      <w:pPr>
        <w:spacing w:after="120"/>
      </w:pPr>
      <w:r>
        <w:rPr>
          <w:b/>
          <w:bCs/>
        </w:rPr>
        <w:t xml:space="preserve">Hallazgo. </w:t>
      </w:r>
      <w:r>
        <w:t xml:space="preserve">La § 2.3 sostiene que el control es insensible a M porque calibra contra el ensemble y sus ground truths solo intervienen en la evaluación. El documento declara que el conjunto de evaluación del brazo principal es de M − n_calib ground truths por configuración —13, 20 y 25—, pero no especifica cuántos evalúa el control. Como el control no consume ground truths para calibrar, podría evaluar los M completos.</w:t>
      </w:r>
    </w:p>
    <w:p>
      <w:pPr>
        <w:spacing w:after="120"/>
      </w:pPr>
      <w:r>
        <w:rPr>
          <w:b/>
          <w:bCs/>
        </w:rPr>
        <w:t xml:space="preserve">Consecuencia si no se enmienda. </w:t>
      </w:r>
      <w:r>
        <w:t xml:space="preserve">La ambigüedad afecta dos cosas a la vez. Primero, la puerta G11 a M = 25: si el control de v7.7-a evaluaba 13 y el de v7.7-b evaluara 25, no reproduciría el stage 1 y la puerta fallaría por especificación, no por defecto. Segundo, la verificación de invariancia a M = 50: si el número de ground truths de evaluación cambia entre brazos, la comparación no aísla lo que se quiere aislar.</w:t>
      </w:r>
    </w:p>
    <w:p>
      <w:pPr>
        <w:spacing w:after="120"/>
      </w:pPr>
      <w:r>
        <w:rPr>
          <w:b/>
          <w:bCs/>
        </w:rPr>
        <w:t xml:space="preserve">Texto propuesto (adición a § 2.3). </w:t>
      </w:r>
      <w:r>
        <w:t xml:space="preserve">El brazo de control evalúa exactamente el mismo subconjunto de M − n_calib ground truths por configuración que el brazo principal, con la misma partición y las mismas semillas, pese a no requerir ground truths de calibración. La razón es doble: mantener la comparabilidad directa entre brazos y preservar la validez de la puerta G11, que exige reproducir el stage 1 de v7.7-a, donde el control evaluó 13 ground truths por configuración.</w:t>
      </w:r>
    </w:p>
    <w:p>
      <w:pPr>
        <w:spacing w:after="120"/>
      </w:pPr>
      <w:r>
        <w:t xml:space="preserve">Si en v7.7-a el control efectivamente evaluó un número distinto, esta enmienda debe ajustarse a ese valor: lo que importa es que el borrador lo declare y que G11 sea verificable.</w:t>
      </w:r>
    </w:p>
    <w:p>
      <w:pPr>
        <w:pStyle w:val="Heading1"/>
        <w:spacing w:after="140" w:before="280"/>
      </w:pPr>
      <w:r>
        <w:t xml:space="preserve">3. Observación menor, sin enmienda</w:t>
      </w:r>
    </w:p>
    <w:p>
      <w:pPr>
        <w:spacing w:after="120"/>
      </w:pPr>
      <w:r>
        <w:t xml:space="preserve">La nota de honestidad de la § 2.2 afirma que la separación de umbrales en M = 40 y M = 50 es aritmética, de modo que su falla indicaría defecto de implementación. Eso es exacto para los umbrales, pero C11.a está formulado sobre coberturas realizadas: Cov(0,90) ≠ Cov(0,95). Dos umbrales distintos producen coberturas realizadas distintas solo si algún ground truth cae entre ellos. En M = 40 los índices 18 y 19 son consecutivos, de modo que la separación depende de que la muestra los distinga.</w:t>
      </w:r>
    </w:p>
    <w:p>
      <w:pPr>
        <w:spacing w:after="120"/>
      </w:pPr>
      <w:r>
        <w:t xml:space="preserve">En agregado sobre unas 1.200 evaluaciones la distinción es prácticamente segura, así que la observación no cambia el diseño. Se registra para que la nota de honestidad no atribuya a la aritmética una garantía que en rigor proviene del tamaño de muestra.</w:t>
      </w:r>
    </w:p>
    <w:p>
      <w:pPr>
        <w:pStyle w:val="Heading1"/>
        <w:spacing w:after="140" w:before="280"/>
      </w:pPr>
      <w:r>
        <w:t xml:space="preserve">4. Aspectos verificados que no se objetan</w:t>
      </w:r>
    </w:p>
    <w:p>
      <w:pPr>
        <w:pStyle w:val="ListParagraph"/>
        <w:numPr>
          <w:ilvl w:val="0"/>
          <w:numId w:val="1"/>
        </w:numPr>
        <w:spacing w:after="120"/>
      </w:pPr>
      <w:r>
        <w:t xml:space="preserve">Los quince valores de cobertura esperada y los tres conjuntos de índices de la § 2.2, recalculados de forma independiente.</w:t>
      </w:r>
    </w:p>
    <w:p>
      <w:pPr>
        <w:pStyle w:val="ListParagraph"/>
        <w:numPr>
          <w:ilvl w:val="0"/>
          <w:numId w:val="1"/>
        </w:numPr>
        <w:spacing w:after="120"/>
      </w:pPr>
      <w:r>
        <w:t xml:space="preserve">La retrocompatibilidad de la enmienda n_calib = piso(M/2), que con M = 25 devuelve 12 y hace del brazo M = 25 una puerta de regresión legítima.</w:t>
      </w:r>
    </w:p>
    <w:p>
      <w:pPr>
        <w:pStyle w:val="ListParagraph"/>
        <w:numPr>
          <w:ilvl w:val="0"/>
          <w:numId w:val="1"/>
        </w:numPr>
        <w:spacing w:after="120"/>
      </w:pPr>
      <w:r>
        <w:t xml:space="preserve">Los tres desvíos de C11.e y la predicción registrada de que M = 40, y no M = 50, minimiza el desvío en el nivel alto.</w:t>
      </w:r>
    </w:p>
    <w:p>
      <w:pPr>
        <w:pStyle w:val="ListParagraph"/>
        <w:numPr>
          <w:ilvl w:val="0"/>
          <w:numId w:val="1"/>
        </w:numPr>
        <w:spacing w:after="120"/>
      </w:pPr>
      <w:r>
        <w:t xml:space="preserve">El presupuesto de cómputo. El escalado por configuración como (N + M)/75 sobre los 393,5 min reales del stage 1 reproduce los 197, 236 y 262 min de la tabla de la § 6. A diferencia de v7.7-a, la estimación está anclada en tiempo medido con N fijo en 50 y no en una extrapolación, que fue el origen de la desviación de 21 h estimadas frente a 53 h reales en la etapa anterior. El riesgo residual sigue siendo la cola pesada de la familia encuentro_violento del OOD lejano.</w:t>
      </w:r>
    </w:p>
    <w:p>
      <w:pPr>
        <w:pStyle w:val="ListParagraph"/>
        <w:numPr>
          <w:ilvl w:val="0"/>
          <w:numId w:val="1"/>
        </w:numPr>
        <w:spacing w:after="120"/>
      </w:pPr>
      <w:r>
        <w:t xml:space="preserve">El estatus exploratorio y no vinculante del análisis secundario de la § 5, que no alimenta el veredicto de escenario.</w:t>
      </w:r>
    </w:p>
    <w:p>
      <w:pPr>
        <w:pStyle w:val="ListParagraph"/>
        <w:numPr>
          <w:ilvl w:val="0"/>
          <w:numId w:val="1"/>
        </w:numPr>
        <w:spacing w:after="120"/>
      </w:pPr>
      <w:r>
        <w:t xml:space="preserve">La declaración explícita, en la § 2.3, de que el tamaño del conjunto de evaluación cambia con M. La enmienda E5 no corrige esa declaración: pide extenderla al brazo de control.</w:t>
      </w:r>
    </w:p>
    <w:p>
      <w:pPr>
        <w:pStyle w:val="Heading1"/>
        <w:spacing w:after="140" w:before="280"/>
      </w:pPr>
      <w:r>
        <w:t xml:space="preserve">5. Lo que esta nota no verifica</w:t>
      </w:r>
    </w:p>
    <w:p>
      <w:pPr>
        <w:pStyle w:val="ListParagraph"/>
        <w:numPr>
          <w:ilvl w:val="0"/>
          <w:numId w:val="1"/>
        </w:numPr>
        <w:spacing w:after="120"/>
      </w:pPr>
      <w:r>
        <w:t xml:space="preserve">No se verificó ningún resultado empírico de v7.7-a: no se dispuso en esta revisión de table_long.csv, table_cells.csv ni de los archivos partial. Todas las cifras de v7.7-a citadas aquí provienen del Informe de Resultados y del borrador auditado, no de recálculo sobre datos.</w:t>
      </w:r>
    </w:p>
    <w:p>
      <w:pPr>
        <w:pStyle w:val="ListParagraph"/>
        <w:numPr>
          <w:ilvl w:val="0"/>
          <w:numId w:val="1"/>
        </w:numPr>
        <w:spacing w:after="120"/>
      </w:pPr>
      <w:r>
        <w:t xml:space="preserve">Por lo mismo, el bootstrap sobre configuraciones que propone E3 y la calibración del umbral que propone E1 no pudieron ejecutarse en esta revisión. Ambos requieren los CSV de v7.7-a y deben correrse antes del congelamiento.</w:t>
      </w:r>
    </w:p>
    <w:p>
      <w:pPr>
        <w:pStyle w:val="ListParagraph"/>
        <w:numPr>
          <w:ilvl w:val="0"/>
          <w:numId w:val="1"/>
        </w:numPr>
        <w:spacing w:after="120"/>
      </w:pPr>
      <w:r>
        <w:t xml:space="preserve">No se revisó el módulo común de v7.7-b ni el consolidador de la etapa: al momento de esta nota no existen. La verificación del diff mínimo declarado y de la implementación de G11 corresponde a una revisión posterior de código.</w:t>
      </w:r>
    </w:p>
    <w:p>
      <w:pPr>
        <w:pStyle w:val="Heading1"/>
        <w:spacing w:after="140" w:before="280"/>
      </w:pPr>
      <w:r>
        <w:t xml:space="preserve">6. Estado y decisión pendiente</w:t>
      </w:r>
    </w:p>
    <w:p>
      <w:pPr>
        <w:spacing w:after="120"/>
      </w:pPr>
      <w:r>
        <w:t xml:space="preserve">E1 es la única enmienda que se propone como bloqueante del congelamiento: sin criterio de tamaño, el escenario favorable no es interpretable como habilitación de un instrumento. E2 corrige una fundamentación, no una decisión. E3, E4 y E5 refuerzan la verificabilidad y ninguna cambia el diseño experimental.</w:t>
      </w:r>
    </w:p>
    <w:p>
      <w:pPr>
        <w:spacing w:after="120"/>
      </w:pPr>
      <w:r>
        <w:t xml:space="preserve">Ninguna de las cinco altera la variable única, el dataset, los brazos, la enmienda de método n_calib = piso(M/2) ni el presupuesto. El experimento que el borrador propone sigue siendo el mismo.</w:t>
      </w:r>
    </w:p>
    <w:p>
      <w:pPr>
        <w:spacing w:after="120"/>
      </w:pPr>
      <w:r>
        <w:t xml:space="preserve">Corresponde a Oaui el fallo sobre D1–D5 y sobre cada enmienda, y al segundo auditor la revisión de la versión resultante. Esta nota no autoriza corrida alguna.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de Auditoría NA-01 — Hoja de Ruta MTPS-C v7.7-b</dc:title>
  <dc:creator>Auditoría del programa MTPS-C</dc:creator>
  <cp:lastModifiedBy>Un-named</cp:lastModifiedBy>
  <cp:revision>1</cp:revision>
  <dcterms:created xsi:type="dcterms:W3CDTF">2026-08-11T22:51:09.591Z</dcterms:created>
  <dcterms:modified xsi:type="dcterms:W3CDTF">2026-08-11T22:51:09.615Z</dcterms:modified>
</cp:coreProperties>
</file>

<file path=docProps/custom.xml><?xml version="1.0" encoding="utf-8"?>
<Properties xmlns="http://schemas.openxmlformats.org/officeDocument/2006/custom-properties" xmlns:vt="http://schemas.openxmlformats.org/officeDocument/2006/docPropsVTypes"/>
</file>