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400"/>
        <w:jc w:val="center"/>
      </w:pPr>
      <w:r>
        <w:rPr>
          <w:rFonts w:ascii="Arial" w:cs="Arial" w:eastAsia="Arial" w:hAnsi="Arial"/>
          <w:b/>
          <w:bCs/>
          <w:sz w:val="44"/>
          <w:szCs w:val="44"/>
        </w:rPr>
        <w:t xml:space="preserve">Nota Técnica NT-01</w:t>
      </w:r>
    </w:p>
    <w:p>
      <w:pPr>
        <w:spacing w:after="400"/>
        <w:jc w:val="center"/>
      </w:pPr>
      <w:r>
        <w:rPr>
          <w:rFonts w:ascii="Arial" w:cs="Arial" w:eastAsia="Arial" w:hAnsi="Arial"/>
          <w:i/>
          <w:iCs/>
          <w:sz w:val="26"/>
          <w:szCs w:val="26"/>
        </w:rPr>
        <w:t xml:space="preserve">Colapso de los niveles nominales 0,90 y 0,95 al mismo umbral conformal</w:t>
      </w:r>
    </w:p>
    <w:p>
      <w:pPr>
        <w:spacing w:after="300"/>
        <w:jc w:val="center"/>
      </w:pPr>
      <w:r>
        <w:rPr>
          <w:rFonts w:ascii="Arial" w:cs="Arial" w:eastAsia="Arial" w:hAnsi="Arial"/>
          <w:sz w:val="24"/>
          <w:szCs w:val="24"/>
        </w:rPr>
        <w:t xml:space="preserve">Limitación conocida de la grilla de niveles bajo M = 25</w:t>
      </w:r>
    </w:p>
    <w:p>
      <w:pPr>
        <w:spacing w:after="300"/>
        <w:jc w:val="center"/>
      </w:pPr>
      <w:r>
        <w:rPr>
          <w:rFonts w:ascii="Arial" w:cs="Arial" w:eastAsia="Arial" w:hAnsi="Arial"/>
          <w:sz w:val="22"/>
          <w:szCs w:val="22"/>
        </w:rPr>
        <w:t xml:space="preserve">Revisión 4 (11 de agosto de 2026) — corrección conceptual techo → valor esperado (§§ 2.3, 3.1, 3.2, 5.2, 6.1) · cierre empírico a tres N: predicción central verificada 3/3 (§ 4.1) y contraste del control (§ 2.4) · conexión verificada con la validez por categoría de los conditional ICP de Vovk 2012 (§ 2.3)</w:t>
      </w:r>
    </w:p>
    <w:p>
      <w:pPr>
        <w:spacing w:after="300"/>
        <w:jc w:val="center"/>
      </w:pPr>
      <w:r>
        <w:rPr>
          <w:rFonts w:ascii="Arial" w:cs="Arial" w:eastAsia="Arial" w:hAnsi="Arial"/>
          <w:i/>
          <w:iCs/>
          <w:sz w:val="20"/>
          <w:szCs w:val="20"/>
        </w:rPr>
        <w:t xml:space="preserve">Renumerada de revisión 3 a revisión 4 el 12 de agosto de 2026, sin cambio alguno de contenido. Dos emisiones distintas habían circulado bajo el número 3 — la primera anclada en el libro de 2005, la segunda en Vovk 2012 —, y este documento es la segunda. El número 3 queda retirado del registro del programa para eliminar la ambigüedad; el anclaje de este documento es su SHA-256, registrado en el Acta de Congelamiento 01 de v7.7-b.</w:t>
      </w:r>
    </w:p>
    <w:p>
      <w:pPr>
        <w:spacing w:after="800"/>
        <w:jc w:val="center"/>
      </w:pPr>
      <w:r>
        <w:rPr>
          <w:rFonts w:ascii="Arial" w:cs="Arial" w:eastAsia="Arial" w:hAnsi="Arial"/>
          <w:i/>
          <w:iCs/>
          <w:sz w:val="22"/>
          <w:szCs w:val="22"/>
        </w:rPr>
        <w:t xml:space="preserve">Motor de Trayectorias Probabilísticas para Sistemas Caóticos</w:t>
      </w:r>
    </w:p>
    <w:p>
      <w:pPr>
        <w:spacing w:after="200"/>
        <w:jc w:val="center"/>
      </w:pPr>
      <w:r>
        <w:rPr>
          <w:rFonts w:ascii="Arial" w:cs="Arial" w:eastAsia="Arial" w:hAnsi="Arial"/>
          <w:b/>
          <w:bCs/>
          <w:sz w:val="26"/>
          <w:szCs w:val="26"/>
        </w:rPr>
        <w:t xml:space="preserve">Joaquín Peñafiel</w:t>
      </w:r>
    </w:p>
    <w:p>
      <w:pPr>
        <w:spacing w:after="1200"/>
        <w:jc w:val="center"/>
      </w:pPr>
      <w:r>
        <w:rPr>
          <w:rFonts w:ascii="Arial" w:cs="Arial" w:eastAsia="Arial" w:hAnsi="Arial"/>
          <w:sz w:val="22"/>
          <w:szCs w:val="22"/>
        </w:rPr>
        <w:t xml:space="preserve">Chile · 3 de agosto de 2026</w:t>
      </w:r>
    </w:p>
    <w:p>
      <w:pPr>
        <w:spacing w:after="120"/>
        <w:jc w:val="center"/>
      </w:pPr>
      <w:r>
        <w:rPr>
          <w:rFonts w:ascii="Arial" w:cs="Arial" w:eastAsia="Arial" w:hAnsi="Arial"/>
          <w:sz w:val="20"/>
          <w:szCs w:val="20"/>
        </w:rPr>
        <w:t xml:space="preserve">Detectado durante la revisión de partial_n50.pkl (v7.7-a, stage 1)</w:t>
      </w:r>
    </w:p>
    <w:p>
      <w:pPr>
        <w:spacing w:after="200"/>
        <w:jc w:val="center"/>
      </w:pPr>
      <w:r>
        <w:rPr>
          <w:rFonts w:ascii="Arial" w:cs="Arial" w:eastAsia="Arial" w:hAnsi="Arial"/>
          <w:i/>
          <w:iCs/>
          <w:sz w:val="20"/>
          <w:szCs w:val="20"/>
        </w:rPr>
        <w:t xml:space="preserve">Estado: documentado · predicción central verificada 3/3 al cierre de v7.7-a · sin acción correctiva · traspasado a v7.7-b</w:t>
      </w:r>
    </w:p>
    <w:p>
      <w:r>
        <w:br w:type="page"/>
      </w:r>
    </w:p>
    <w:p>
      <w:pPr>
        <w:pStyle w:val="Heading1"/>
        <w:spacing w:after="180" w:before="360"/>
      </w:pPr>
      <w:r>
        <w:rPr>
          <w:rFonts w:ascii="Arial" w:cs="Arial" w:eastAsia="Arial" w:hAnsi="Arial"/>
          <w:b/>
          <w:bCs/>
          <w:sz w:val="32"/>
          <w:szCs w:val="32"/>
        </w:rPr>
        <w:t xml:space="preserve">1. Propósito y Alcance de esta Nota</w:t>
      </w:r>
    </w:p>
    <w:p>
      <w:pPr>
        <w:spacing w:after="120"/>
        <w:jc w:val="both"/>
      </w:pPr>
      <w:r>
        <w:rPr>
          <w:rFonts w:ascii="Arial" w:cs="Arial" w:eastAsia="Arial" w:hAnsi="Arial"/>
          <w:b w:val="false"/>
          <w:bCs w:val="false"/>
          <w:i w:val="false"/>
          <w:iCs w:val="false"/>
          <w:sz w:val="22"/>
          <w:szCs w:val="22"/>
        </w:rPr>
        <w:t xml:space="preserve">Este documento no reporta un experimento. Es un anexo metodológico del programa MTPS-C que deja constancia fechada de una limitación estructural detectada en la grilla de niveles de confianza, junto con su aritmética, su alcance retroactivo y la decisión adoptada al respecto.</w:t>
      </w:r>
    </w:p>
    <w:p>
      <w:pPr>
        <w:pStyle w:val="Heading2"/>
        <w:spacing w:after="120" w:before="240"/>
      </w:pPr>
      <w:r>
        <w:rPr>
          <w:rFonts w:ascii="Arial" w:cs="Arial" w:eastAsia="Arial" w:hAnsi="Arial"/>
          <w:b/>
          <w:bCs/>
          <w:sz w:val="26"/>
          <w:szCs w:val="26"/>
        </w:rPr>
        <w:t xml:space="preserve">1.1 Por qué se escribe ahora</w:t>
      </w:r>
    </w:p>
    <w:p>
      <w:pPr>
        <w:spacing w:after="120"/>
        <w:jc w:val="both"/>
      </w:pPr>
      <w:r>
        <w:rPr>
          <w:rFonts w:ascii="Arial" w:cs="Arial" w:eastAsia="Arial" w:hAnsi="Arial"/>
          <w:b w:val="false"/>
          <w:bCs w:val="false"/>
          <w:i w:val="false"/>
          <w:iCs w:val="false"/>
          <w:sz w:val="22"/>
          <w:szCs w:val="22"/>
        </w:rPr>
        <w:t xml:space="preserve">El hallazgo se detectó el 3 de agosto de 2026 durante la revisión del archivo de resultados parciales del stage 1 de v7.7-a (N_ensemble = 50), en el marco de la auditoría externa habitual del programa. Se documenta de inmediato, antes de continuar con los stages restantes, por tres razones:</w:t>
      </w:r>
    </w:p>
    <w:p>
      <w:pPr>
        <w:pStyle w:val="ListParagraph"/>
        <w:numPr>
          <w:ilvl w:val="0"/>
          <w:numId w:val="2"/>
        </w:numPr>
        <w:spacing w:after="80"/>
      </w:pPr>
      <w:r>
        <w:rPr>
          <w:rFonts w:ascii="Arial" w:cs="Arial" w:eastAsia="Arial" w:hAnsi="Arial"/>
          <w:b/>
          <w:bCs/>
          <w:i w:val="false"/>
          <w:iCs w:val="false"/>
          <w:sz w:val="22"/>
          <w:szCs w:val="22"/>
        </w:rPr>
        <w:t xml:space="preserve">Precedencia documental: </w:t>
      </w:r>
      <w:r>
        <w:rPr>
          <w:rFonts w:ascii="Arial" w:cs="Arial" w:eastAsia="Arial" w:hAnsi="Arial"/>
          <w:b w:val="false"/>
          <w:bCs w:val="false"/>
          <w:i w:val="false"/>
          <w:iCs w:val="false"/>
          <w:sz w:val="22"/>
          <w:szCs w:val="22"/>
        </w:rPr>
        <w:t xml:space="preserve">es el tipo de observación que un revisor externo puede reproducir en minutos. Conviene que exista constancia propia, fechada y con la aritmética explícita, antes de que aparezca señalada desde afuera.</w:t>
      </w:r>
    </w:p>
    <w:p>
      <w:pPr>
        <w:pStyle w:val="ListParagraph"/>
        <w:numPr>
          <w:ilvl w:val="0"/>
          <w:numId w:val="2"/>
        </w:numPr>
        <w:spacing w:after="80"/>
      </w:pPr>
      <w:r>
        <w:rPr>
          <w:rFonts w:ascii="Arial" w:cs="Arial" w:eastAsia="Arial" w:hAnsi="Arial"/>
          <w:b/>
          <w:bCs/>
          <w:i w:val="false"/>
          <w:iCs w:val="false"/>
          <w:sz w:val="22"/>
          <w:szCs w:val="22"/>
        </w:rPr>
        <w:t xml:space="preserve">Continuidad del programa: </w:t>
      </w:r>
      <w:r>
        <w:rPr>
          <w:rFonts w:ascii="Arial" w:cs="Arial" w:eastAsia="Arial" w:hAnsi="Arial"/>
          <w:b w:val="false"/>
          <w:bCs w:val="false"/>
          <w:i w:val="false"/>
          <w:iCs w:val="false"/>
          <w:sz w:val="22"/>
          <w:szCs w:val="22"/>
        </w:rPr>
        <w:t xml:space="preserve">la práctica establecida desde v7.5-aux es documentar lo no resuelto con el mismo rigor que lo validado. Un hallazgo sin registro formal se pierde entre versiones.</w:t>
      </w:r>
    </w:p>
    <w:p>
      <w:pPr>
        <w:pStyle w:val="ListParagraph"/>
        <w:numPr>
          <w:ilvl w:val="0"/>
          <w:numId w:val="2"/>
        </w:numPr>
        <w:spacing w:after="80"/>
      </w:pPr>
      <w:r>
        <w:rPr>
          <w:rFonts w:ascii="Arial" w:cs="Arial" w:eastAsia="Arial" w:hAnsi="Arial"/>
          <w:b/>
          <w:bCs/>
          <w:i w:val="false"/>
          <w:iCs w:val="false"/>
          <w:sz w:val="22"/>
          <w:szCs w:val="22"/>
        </w:rPr>
        <w:t xml:space="preserve">Insumo para v7.7-b: </w:t>
      </w:r>
      <w:r>
        <w:rPr>
          <w:rFonts w:ascii="Arial" w:cs="Arial" w:eastAsia="Arial" w:hAnsi="Arial"/>
          <w:b w:val="false"/>
          <w:bCs w:val="false"/>
          <w:i w:val="false"/>
          <w:iCs w:val="false"/>
          <w:sz w:val="22"/>
          <w:szCs w:val="22"/>
        </w:rPr>
        <w:t xml:space="preserve">la etapa siguiente del ciclo de caracterización ya contempla un barrido del parámetro M. Esta nota convierte un hallazgo incidental en una hipótesis prerregistrable para ese barrido.</w:t>
      </w:r>
    </w:p>
    <w:p>
      <w:pPr>
        <w:pStyle w:val="Heading2"/>
        <w:spacing w:after="120" w:before="240"/>
      </w:pPr>
      <w:r>
        <w:rPr>
          <w:rFonts w:ascii="Arial" w:cs="Arial" w:eastAsia="Arial" w:hAnsi="Arial"/>
          <w:b/>
          <w:bCs/>
          <w:sz w:val="26"/>
          <w:szCs w:val="26"/>
        </w:rPr>
        <w:t xml:space="preserve">1.2 Lo que esta nota NO afirma</w:t>
      </w:r>
    </w:p>
    <w:p>
      <w:pPr>
        <w:pStyle w:val="ListParagraph"/>
        <w:numPr>
          <w:ilvl w:val="0"/>
          <w:numId w:val="2"/>
        </w:numPr>
        <w:spacing w:after="80"/>
      </w:pPr>
      <w:r>
        <w:rPr>
          <w:rFonts w:ascii="Arial" w:cs="Arial" w:eastAsia="Arial" w:hAnsi="Arial"/>
          <w:b/>
          <w:bCs/>
          <w:i w:val="false"/>
          <w:iCs w:val="false"/>
          <w:sz w:val="22"/>
          <w:szCs w:val="22"/>
        </w:rPr>
        <w:t xml:space="preserve">No invalida los veredictos previos. </w:t>
      </w:r>
      <w:r>
        <w:rPr>
          <w:rFonts w:ascii="Arial" w:cs="Arial" w:eastAsia="Arial" w:hAnsi="Arial"/>
          <w:b w:val="false"/>
          <w:bCs w:val="false"/>
          <w:i w:val="false"/>
          <w:iCs w:val="false"/>
          <w:sz w:val="22"/>
          <w:szCs w:val="22"/>
        </w:rPr>
        <w:t xml:space="preserve">Los cierres de v7.5-b, v7.6-a, v7.6-b y v7.6-c mantienen sus resultados. La limitación afecta la interpretación de un nivel, no la validez de los criterios cumplidos.</w:t>
      </w:r>
    </w:p>
    <w:p>
      <w:pPr>
        <w:pStyle w:val="ListParagraph"/>
        <w:numPr>
          <w:ilvl w:val="0"/>
          <w:numId w:val="2"/>
        </w:numPr>
        <w:spacing w:after="80"/>
      </w:pPr>
      <w:r>
        <w:rPr>
          <w:rFonts w:ascii="Arial" w:cs="Arial" w:eastAsia="Arial" w:hAnsi="Arial"/>
          <w:b/>
          <w:bCs/>
          <w:i w:val="false"/>
          <w:iCs w:val="false"/>
          <w:sz w:val="22"/>
          <w:szCs w:val="22"/>
        </w:rPr>
        <w:t xml:space="preserve">No identifica un error de implementación. </w:t>
      </w:r>
      <w:r>
        <w:rPr>
          <w:rFonts w:ascii="Arial" w:cs="Arial" w:eastAsia="Arial" w:hAnsi="Arial"/>
          <w:b w:val="false"/>
          <w:bCs w:val="false"/>
          <w:i w:val="false"/>
          <w:iCs w:val="false"/>
          <w:sz w:val="22"/>
          <w:szCs w:val="22"/>
        </w:rPr>
        <w:t xml:space="preserve">El cálculo del umbral conformal está correctamente implementado según la formulación estándar de conformal predicción split. La limitación proviene del tamaño del conjunto de calibración, no del código.</w:t>
      </w:r>
    </w:p>
    <w:p>
      <w:pPr>
        <w:pStyle w:val="ListParagraph"/>
        <w:numPr>
          <w:ilvl w:val="0"/>
          <w:numId w:val="2"/>
        </w:numPr>
        <w:spacing w:after="80"/>
      </w:pPr>
      <w:r>
        <w:rPr>
          <w:rFonts w:ascii="Arial" w:cs="Arial" w:eastAsia="Arial" w:hAnsi="Arial"/>
          <w:b/>
          <w:bCs/>
          <w:i w:val="false"/>
          <w:iCs w:val="false"/>
          <w:sz w:val="22"/>
          <w:szCs w:val="22"/>
        </w:rPr>
        <w:t xml:space="preserve">No motiva un cambio en v7.7-a. </w:t>
      </w:r>
      <w:r>
        <w:rPr>
          <w:rFonts w:ascii="Arial" w:cs="Arial" w:eastAsia="Arial" w:hAnsi="Arial"/>
          <w:b w:val="false"/>
          <w:bCs w:val="false"/>
          <w:i w:val="false"/>
          <w:iCs w:val="false"/>
          <w:sz w:val="22"/>
          <w:szCs w:val="22"/>
        </w:rPr>
        <w:t xml:space="preserve">El método permanece congelado. La sección 6 argumenta esa decisión.</w:t>
      </w:r>
    </w:p>
    <w:p>
      <w:r>
        <w:br w:type="page"/>
      </w:r>
    </w:p>
    <w:p>
      <w:pPr>
        <w:pStyle w:val="Heading1"/>
        <w:spacing w:after="180" w:before="360"/>
      </w:pPr>
      <w:r>
        <w:rPr>
          <w:rFonts w:ascii="Arial" w:cs="Arial" w:eastAsia="Arial" w:hAnsi="Arial"/>
          <w:b/>
          <w:bCs/>
          <w:sz w:val="32"/>
          <w:szCs w:val="32"/>
        </w:rPr>
        <w:t xml:space="preserve">2. El Hallazgo</w:t>
      </w:r>
    </w:p>
    <w:p>
      <w:pPr>
        <w:pStyle w:val="Heading2"/>
        <w:spacing w:after="120" w:before="240"/>
      </w:pPr>
      <w:r>
        <w:rPr>
          <w:rFonts w:ascii="Arial" w:cs="Arial" w:eastAsia="Arial" w:hAnsi="Arial"/>
          <w:b/>
          <w:bCs/>
          <w:sz w:val="26"/>
          <w:szCs w:val="26"/>
        </w:rPr>
        <w:t xml:space="preserve">2.1 Observación empírica</w:t>
      </w:r>
    </w:p>
    <w:p>
      <w:pPr>
        <w:spacing w:after="120"/>
        <w:jc w:val="both"/>
      </w:pPr>
      <w:r>
        <w:rPr>
          <w:rFonts w:ascii="Arial" w:cs="Arial" w:eastAsia="Arial" w:hAnsi="Arial"/>
          <w:b/>
          <w:bCs/>
          <w:i w:val="false"/>
          <w:iCs w:val="false"/>
          <w:sz w:val="22"/>
          <w:szCs w:val="22"/>
        </w:rPr>
        <w:t xml:space="preserve">Alcance: todo lo que sigue en las secciones 2.1 a 2.3 se refiere al brazo principal (MODO_PRINCIPAL, formulación aux2b), que es sobre el que recae el veredicto formal. </w:t>
      </w:r>
      <w:r>
        <w:rPr>
          <w:rFonts w:ascii="Arial" w:cs="Arial" w:eastAsia="Arial" w:hAnsi="Arial"/>
          <w:b w:val="false"/>
          <w:bCs w:val="false"/>
          <w:i w:val="false"/>
          <w:iCs w:val="false"/>
          <w:sz w:val="22"/>
          <w:szCs w:val="22"/>
        </w:rPr>
        <w:t xml:space="preserve">El brazo de control presenta un comportamiento distinto que se documenta por separado en la sección 2.4.</w:t>
      </w:r>
    </w:p>
    <w:p>
      <w:pPr>
        <w:spacing w:after="120"/>
        <w:jc w:val="both"/>
      </w:pPr>
      <w:r>
        <w:rPr>
          <w:rFonts w:ascii="Arial" w:cs="Arial" w:eastAsia="Arial" w:hAnsi="Arial"/>
          <w:b w:val="false"/>
          <w:bCs w:val="false"/>
          <w:i w:val="false"/>
          <w:iCs w:val="false"/>
          <w:sz w:val="22"/>
          <w:szCs w:val="22"/>
        </w:rPr>
        <w:t xml:space="preserve">Al inspeccionar las coberturas empíricas del brazo principal en el stage 1 de v7.7-a se observó que los niveles nominales 0,90 y 0,95 arrojan valores idénticos, tanto en el agregado global como en cada uno de los tres subconjuntos del dataset mixto:</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400"/>
        <w:gridCol w:w="3300"/>
        <w:gridCol w:w="3300"/>
      </w:tblGrid>
      <w:tr>
        <w:tc>
          <w:tcPr>
            <w:tcW w:type="dxa" w:w="34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Subconjunto</w:t>
            </w:r>
          </w:p>
        </w:tc>
        <w:tc>
          <w:tcPr>
            <w:tcW w:type="dxa" w:w="33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Cov_emp(0,90)</w:t>
            </w:r>
          </w:p>
        </w:tc>
        <w:tc>
          <w:tcPr>
            <w:tcW w:type="dxa" w:w="33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Cov_emp(0,95)</w:t>
            </w:r>
          </w:p>
        </w:tc>
      </w:tr>
      <w:tr>
        <w:tc>
          <w:tcPr>
            <w:tcW w:type="dxa" w:w="34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Global (60 configs)</w:t>
            </w:r>
          </w:p>
        </w:tc>
        <w:tc>
          <w:tcPr>
            <w:tcW w:type="dxa" w:w="33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92,06 %</w:t>
            </w:r>
          </w:p>
        </w:tc>
        <w:tc>
          <w:tcPr>
            <w:tcW w:type="dxa" w:w="33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92,06 %</w:t>
            </w:r>
          </w:p>
        </w:tc>
      </w:tr>
      <w:tr>
        <w:tc>
          <w:tcPr>
            <w:tcW w:type="dxa" w:w="34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In-distribution</w:t>
            </w:r>
          </w:p>
        </w:tc>
        <w:tc>
          <w:tcPr>
            <w:tcW w:type="dxa" w:w="33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93,4 %</w:t>
            </w:r>
          </w:p>
        </w:tc>
        <w:tc>
          <w:tcPr>
            <w:tcW w:type="dxa" w:w="33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93,4 %</w:t>
            </w:r>
          </w:p>
        </w:tc>
      </w:tr>
      <w:tr>
        <w:tc>
          <w:tcPr>
            <w:tcW w:type="dxa" w:w="34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OOD cercano</w:t>
            </w:r>
          </w:p>
        </w:tc>
        <w:tc>
          <w:tcPr>
            <w:tcW w:type="dxa" w:w="33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91,7 %</w:t>
            </w:r>
          </w:p>
        </w:tc>
        <w:tc>
          <w:tcPr>
            <w:tcW w:type="dxa" w:w="33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91,7 %</w:t>
            </w:r>
          </w:p>
        </w:tc>
      </w:tr>
      <w:tr>
        <w:tc>
          <w:tcPr>
            <w:tcW w:type="dxa" w:w="34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OOD lejano</w:t>
            </w:r>
          </w:p>
        </w:tc>
        <w:tc>
          <w:tcPr>
            <w:tcW w:type="dxa" w:w="33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91,1 %</w:t>
            </w:r>
          </w:p>
        </w:tc>
        <w:tc>
          <w:tcPr>
            <w:tcW w:type="dxa" w:w="33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91,1 %</w:t>
            </w:r>
          </w:p>
        </w:tc>
      </w:tr>
    </w:tbl>
    <w:p>
      <w:pPr>
        <w:spacing w:after="120"/>
        <w:jc w:val="both"/>
      </w:pPr>
      <w:r>
        <w:rPr>
          <w:rFonts w:ascii="Arial" w:cs="Arial" w:eastAsia="Arial" w:hAnsi="Arial"/>
          <w:b w:val="false"/>
          <w:bCs w:val="false"/>
          <w:i w:val="false"/>
          <w:iCs w:val="false"/>
          <w:sz w:val="22"/>
          <w:szCs w:val="22"/>
        </w:rPr>
        <w:t xml:space="preserve"/>
      </w:r>
    </w:p>
    <w:p>
      <w:pPr>
        <w:spacing w:after="120"/>
        <w:jc w:val="both"/>
      </w:pPr>
      <w:r>
        <w:rPr>
          <w:rFonts w:ascii="Arial" w:cs="Arial" w:eastAsia="Arial" w:hAnsi="Arial"/>
          <w:b/>
          <w:bCs/>
          <w:i w:val="false"/>
          <w:iCs w:val="false"/>
          <w:sz w:val="22"/>
          <w:szCs w:val="22"/>
        </w:rPr>
        <w:t xml:space="preserve">Coberturas empíricas exactamente iguales en dos niveles nominales distintos implican que ambos niveles producen el mismo umbral. </w:t>
      </w:r>
      <w:r>
        <w:rPr>
          <w:rFonts w:ascii="Arial" w:cs="Arial" w:eastAsia="Arial" w:hAnsi="Arial"/>
          <w:b w:val="false"/>
          <w:bCs w:val="false"/>
          <w:i w:val="false"/>
          <w:iCs w:val="false"/>
          <w:sz w:val="22"/>
          <w:szCs w:val="22"/>
        </w:rPr>
        <w:t xml:space="preserve">No se trata de una coincidencia estadística ni de un redondeo: la igualdad es exacta y se repite en los cuatro agregados.</w:t>
      </w:r>
    </w:p>
    <w:p>
      <w:pPr>
        <w:pStyle w:val="Heading2"/>
        <w:spacing w:after="120" w:before="240"/>
      </w:pPr>
      <w:r>
        <w:rPr>
          <w:rFonts w:ascii="Arial" w:cs="Arial" w:eastAsia="Arial" w:hAnsi="Arial"/>
          <w:b/>
          <w:bCs/>
          <w:sz w:val="26"/>
          <w:szCs w:val="26"/>
        </w:rPr>
        <w:t xml:space="preserve">2.2 Aritmética del umbral conformal</w:t>
      </w:r>
    </w:p>
    <w:p>
      <w:pPr>
        <w:spacing w:after="120"/>
        <w:jc w:val="both"/>
      </w:pPr>
      <w:r>
        <w:rPr>
          <w:rFonts w:ascii="Arial" w:cs="Arial" w:eastAsia="Arial" w:hAnsi="Arial"/>
          <w:b w:val="false"/>
          <w:bCs w:val="false"/>
          <w:i w:val="false"/>
          <w:iCs w:val="false"/>
          <w:sz w:val="22"/>
          <w:szCs w:val="22"/>
        </w:rPr>
        <w:t xml:space="preserve">El programa calcula el umbral conformal mediante el estadístico de orden estándar:</w:t>
      </w:r>
    </w:p>
    <w:p>
      <w:pPr>
        <w:spacing w:after="160" w:before="160"/>
        <w:jc w:val="center"/>
      </w:pPr>
      <w:r>
        <w:rPr>
          <w:rFonts w:ascii="Courier New" w:cs="Courier New" w:eastAsia="Courier New" w:hAnsi="Courier New"/>
          <w:sz w:val="24"/>
          <w:szCs w:val="24"/>
        </w:rPr>
        <w:t xml:space="preserve">idx = ceil((n + 1) · p) − 1,  acotado al rango [0, n − 1]</w:t>
      </w:r>
    </w:p>
    <w:p>
      <w:pPr>
        <w:spacing w:after="120"/>
        <w:jc w:val="both"/>
      </w:pPr>
      <w:r>
        <w:rPr>
          <w:rFonts w:ascii="Arial" w:cs="Arial" w:eastAsia="Arial" w:hAnsi="Arial"/>
          <w:b w:val="false"/>
          <w:bCs w:val="false"/>
          <w:i w:val="false"/>
          <w:iCs w:val="false"/>
          <w:sz w:val="22"/>
          <w:szCs w:val="22"/>
        </w:rPr>
        <w:t xml:space="preserve">donde n es el número de puntos de calibración y p el nivel nominal. El acotamiento superior a n − 1 es necesario porque el índice no puede exceder el mayor elemento disponible del conjunto ordenado.</w:t>
      </w:r>
    </w:p>
    <w:p>
      <w:pPr>
        <w:spacing w:after="120"/>
        <w:jc w:val="both"/>
      </w:pPr>
      <w:r>
        <w:rPr>
          <w:rFonts w:ascii="Arial" w:cs="Arial" w:eastAsia="Arial" w:hAnsi="Arial"/>
          <w:b/>
          <w:bCs/>
          <w:i w:val="false"/>
          <w:iCs w:val="false"/>
          <w:sz w:val="22"/>
          <w:szCs w:val="22"/>
        </w:rPr>
        <w:t xml:space="preserve">En el programa MTPS-C, n corresponde a n_calib = 12: </w:t>
      </w:r>
      <w:r>
        <w:rPr>
          <w:rFonts w:ascii="Arial" w:cs="Arial" w:eastAsia="Arial" w:hAnsi="Arial"/>
          <w:b w:val="false"/>
          <w:bCs w:val="false"/>
          <w:i w:val="false"/>
          <w:iCs w:val="false"/>
          <w:sz w:val="22"/>
          <w:szCs w:val="22"/>
        </w:rPr>
        <w:t xml:space="preserve">el conjunto de calibración del split conformal, resultado de partir los M = 25 ground truths en 12 puntos de calibración y 13 de evaluación. Este valor está congelado desde v7.5-b.</w:t>
      </w:r>
    </w:p>
    <w:p>
      <w:pPr>
        <w:spacing w:after="120"/>
        <w:jc w:val="both"/>
      </w:pPr>
      <w:r>
        <w:rPr>
          <w:rFonts w:ascii="Arial" w:cs="Arial" w:eastAsia="Arial" w:hAnsi="Arial"/>
          <w:b w:val="false"/>
          <w:bCs w:val="false"/>
          <w:i w:val="false"/>
          <w:iCs w:val="false"/>
          <w:sz w:val="22"/>
          <w:szCs w:val="22"/>
        </w:rPr>
        <w:t xml:space="preserve">Evaluando la fórmula para los cinco niveles de la grilla del programa:</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2000"/>
        <w:gridCol w:w="1800"/>
      </w:tblGrid>
      <w:tr>
        <w:tc>
          <w:tcPr>
            <w:tcW w:type="dxa" w:w="18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Nivel p</w:t>
            </w:r>
          </w:p>
        </w:tc>
        <w:tc>
          <w:tcPr>
            <w:tcW w:type="dxa" w:w="22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(n+1) · p</w:t>
            </w:r>
          </w:p>
        </w:tc>
        <w:tc>
          <w:tcPr>
            <w:tcW w:type="dxa" w:w="22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ceil(·) − 1</w:t>
            </w:r>
          </w:p>
        </w:tc>
        <w:tc>
          <w:tcPr>
            <w:tcW w:type="dxa" w:w="20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Índice final</w:t>
            </w:r>
          </w:p>
        </w:tc>
        <w:tc>
          <w:tcPr>
            <w:tcW w:type="dxa" w:w="18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Observación</w:t>
            </w:r>
          </w:p>
        </w:tc>
      </w:tr>
      <w:tr>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0,30</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3,90</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3</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3</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r>
      <w:tr>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0,50</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6,50</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6</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6</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r>
      <w:tr>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0,80</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10,40</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10</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10</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r>
      <w:tr>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Arial" w:cs="Arial" w:eastAsia="Arial" w:hAnsi="Arial"/>
                <w:b/>
                <w:bCs/>
                <w:sz w:val="20"/>
                <w:szCs w:val="20"/>
              </w:rPr>
              <w:t xml:space="preserve">0,90</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11,70</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11</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Arial" w:cs="Arial" w:eastAsia="Arial" w:hAnsi="Arial"/>
                <w:b/>
                <w:bCs/>
                <w:sz w:val="20"/>
                <w:szCs w:val="20"/>
              </w:rPr>
              <w:t xml:space="preserve">11</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máximo</w:t>
            </w:r>
          </w:p>
        </w:tc>
      </w:tr>
      <w:tr>
        <w:tc>
          <w:tcPr>
            <w:tcW w:type="dxa" w:w="1800"/>
            <w:tcBorders>
              <w:top w:val="single" w:color="888888" w:sz="1"/>
              <w:left w:val="single" w:color="888888" w:sz="1"/>
              <w:bottom w:val="single" w:color="888888" w:sz="1"/>
              <w:right w:val="single" w:color="888888" w:sz="1"/>
            </w:tcBorders>
            <w:shd w:fill="FBE4D5" w:val="clear"/>
            <w:tcMar>
              <w:top w:type="dxa" w:w="80"/>
              <w:left w:type="dxa" w:w="120"/>
              <w:bottom w:type="dxa" w:w="80"/>
              <w:right w:type="dxa" w:w="120"/>
            </w:tcMar>
          </w:tcPr>
          <w:p>
            <w:pPr>
              <w:jc w:val="left"/>
            </w:pPr>
            <w:r>
              <w:rPr>
                <w:rFonts w:ascii="Arial" w:cs="Arial" w:eastAsia="Arial" w:hAnsi="Arial"/>
                <w:b/>
                <w:bCs/>
                <w:sz w:val="20"/>
                <w:szCs w:val="20"/>
              </w:rPr>
              <w:t xml:space="preserve">0,95</w:t>
            </w:r>
          </w:p>
        </w:tc>
        <w:tc>
          <w:tcPr>
            <w:tcW w:type="dxa" w:w="2200"/>
            <w:tcBorders>
              <w:top w:val="single" w:color="888888" w:sz="1"/>
              <w:left w:val="single" w:color="888888" w:sz="1"/>
              <w:bottom w:val="single" w:color="888888" w:sz="1"/>
              <w:right w:val="single" w:color="888888" w:sz="1"/>
            </w:tcBorders>
            <w:shd w:fill="FBE4D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12,35</w:t>
            </w:r>
          </w:p>
        </w:tc>
        <w:tc>
          <w:tcPr>
            <w:tcW w:type="dxa" w:w="2200"/>
            <w:tcBorders>
              <w:top w:val="single" w:color="888888" w:sz="1"/>
              <w:left w:val="single" w:color="888888" w:sz="1"/>
              <w:bottom w:val="single" w:color="888888" w:sz="1"/>
              <w:right w:val="single" w:color="888888" w:sz="1"/>
            </w:tcBorders>
            <w:shd w:fill="FBE4D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12</w:t>
            </w:r>
          </w:p>
        </w:tc>
        <w:tc>
          <w:tcPr>
            <w:tcW w:type="dxa" w:w="2000"/>
            <w:tcBorders>
              <w:top w:val="single" w:color="888888" w:sz="1"/>
              <w:left w:val="single" w:color="888888" w:sz="1"/>
              <w:bottom w:val="single" w:color="888888" w:sz="1"/>
              <w:right w:val="single" w:color="888888" w:sz="1"/>
            </w:tcBorders>
            <w:shd w:fill="FBE4D5" w:val="clear"/>
            <w:tcMar>
              <w:top w:type="dxa" w:w="80"/>
              <w:left w:type="dxa" w:w="120"/>
              <w:bottom w:type="dxa" w:w="80"/>
              <w:right w:type="dxa" w:w="120"/>
            </w:tcMar>
          </w:tcPr>
          <w:p>
            <w:pPr>
              <w:jc w:val="left"/>
            </w:pPr>
            <w:r>
              <w:rPr>
                <w:rFonts w:ascii="Arial" w:cs="Arial" w:eastAsia="Arial" w:hAnsi="Arial"/>
                <w:b/>
                <w:bCs/>
                <w:sz w:val="20"/>
                <w:szCs w:val="20"/>
              </w:rPr>
              <w:t xml:space="preserve">11</w:t>
            </w:r>
          </w:p>
        </w:tc>
        <w:tc>
          <w:tcPr>
            <w:tcW w:type="dxa" w:w="1800"/>
            <w:tcBorders>
              <w:top w:val="single" w:color="888888" w:sz="1"/>
              <w:left w:val="single" w:color="888888" w:sz="1"/>
              <w:bottom w:val="single" w:color="888888" w:sz="1"/>
              <w:right w:val="single" w:color="888888" w:sz="1"/>
            </w:tcBorders>
            <w:shd w:fill="FBE4D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acotado</w:t>
            </w:r>
          </w:p>
        </w:tc>
      </w:tr>
    </w:tbl>
    <w:p>
      <w:pPr>
        <w:spacing w:after="120"/>
        <w:jc w:val="both"/>
      </w:pPr>
      <w:r>
        <w:rPr>
          <w:rFonts w:ascii="Arial" w:cs="Arial" w:eastAsia="Arial" w:hAnsi="Arial"/>
          <w:b w:val="false"/>
          <w:bCs w:val="false"/>
          <w:i w:val="false"/>
          <w:iCs w:val="false"/>
          <w:sz w:val="22"/>
          <w:szCs w:val="22"/>
        </w:rPr>
        <w:t xml:space="preserve"/>
      </w:r>
    </w:p>
    <w:p>
      <w:pPr>
        <w:spacing w:after="120"/>
        <w:jc w:val="both"/>
      </w:pPr>
      <w:r>
        <w:rPr>
          <w:rFonts w:ascii="Arial" w:cs="Arial" w:eastAsia="Arial" w:hAnsi="Arial"/>
          <w:b/>
          <w:bCs/>
          <w:i w:val="false"/>
          <w:iCs w:val="false"/>
          <w:sz w:val="22"/>
          <w:szCs w:val="22"/>
        </w:rPr>
        <w:t xml:space="preserve">Los niveles 0,90 y 0,95 apuntan al mismo índice: 11, que es el máximo de las doce puntuaciones de calibración. </w:t>
      </w:r>
      <w:r>
        <w:rPr>
          <w:rFonts w:ascii="Arial" w:cs="Arial" w:eastAsia="Arial" w:hAnsi="Arial"/>
          <w:b w:val="false"/>
          <w:bCs w:val="false"/>
          <w:i w:val="false"/>
          <w:iCs w:val="false"/>
          <w:sz w:val="22"/>
          <w:szCs w:val="22"/>
        </w:rPr>
        <w:t xml:space="preserve">Por tanto τ(0,90) y τ(0,95) son literalmente el mismo número, y la cobertura empírica que producen es necesariamente idéntica. La observación de la sección 2.1 queda explicada por completo.</w:t>
      </w:r>
    </w:p>
    <w:p>
      <w:pPr>
        <w:pStyle w:val="Heading2"/>
        <w:spacing w:after="120" w:before="240"/>
      </w:pPr>
      <w:r>
        <w:rPr>
          <w:rFonts w:ascii="Arial" w:cs="Arial" w:eastAsia="Arial" w:hAnsi="Arial"/>
          <w:b/>
          <w:bCs/>
          <w:sz w:val="26"/>
          <w:szCs w:val="26"/>
        </w:rPr>
        <w:t xml:space="preserve">2.3 El valor esperado estructural</w:t>
      </w:r>
    </w:p>
    <w:p>
      <w:pPr>
        <w:spacing w:after="120"/>
        <w:jc w:val="both"/>
      </w:pPr>
      <w:r>
        <w:rPr>
          <w:rFonts w:ascii="Arial" w:cs="Arial" w:eastAsia="Arial" w:hAnsi="Arial"/>
          <w:b w:val="false"/>
          <w:bCs w:val="false"/>
          <w:i w:val="false"/>
          <w:iCs w:val="false"/>
          <w:sz w:val="22"/>
          <w:szCs w:val="22"/>
        </w:rPr>
        <w:t xml:space="preserve">De lo anterior se sigue un hecho más relevante que el colapso mismo. Con n puntos de calibración, los niveles de cobertura que el método puede entregar son los múltiplos de 1/(n+1). Para n = 12:</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4000"/>
      </w:tblGrid>
      <w:tr>
        <w:tc>
          <w:tcPr>
            <w:tcW w:type="dxa" w:w="25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Índice k</w:t>
            </w:r>
          </w:p>
        </w:tc>
        <w:tc>
          <w:tcPr>
            <w:tcW w:type="dxa" w:w="35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Cobertura k / 13</w:t>
            </w:r>
          </w:p>
        </w:tc>
        <w:tc>
          <w:tcPr>
            <w:tcW w:type="dxa" w:w="40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Porcentaje</w:t>
            </w:r>
          </w:p>
        </w:tc>
      </w:tr>
      <w:tr>
        <w:tc>
          <w:tcPr>
            <w:tcW w:type="dxa" w:w="25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10</w:t>
            </w:r>
          </w:p>
        </w:tc>
        <w:tc>
          <w:tcPr>
            <w:tcW w:type="dxa" w:w="35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10 / 13</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76,92 %</w:t>
            </w:r>
          </w:p>
        </w:tc>
      </w:tr>
      <w:tr>
        <w:tc>
          <w:tcPr>
            <w:tcW w:type="dxa" w:w="25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11</w:t>
            </w:r>
          </w:p>
        </w:tc>
        <w:tc>
          <w:tcPr>
            <w:tcW w:type="dxa" w:w="35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11 / 13</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84,62 %</w:t>
            </w:r>
          </w:p>
        </w:tc>
      </w:tr>
      <w:tr>
        <w:tc>
          <w:tcPr>
            <w:tcW w:type="dxa" w:w="25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Arial" w:cs="Arial" w:eastAsia="Arial" w:hAnsi="Arial"/>
                <w:b/>
                <w:bCs/>
                <w:sz w:val="20"/>
                <w:szCs w:val="20"/>
              </w:rPr>
              <w:t xml:space="preserve">12</w:t>
            </w:r>
          </w:p>
        </w:tc>
        <w:tc>
          <w:tcPr>
            <w:tcW w:type="dxa" w:w="35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Arial" w:cs="Arial" w:eastAsia="Arial" w:hAnsi="Arial"/>
                <w:b/>
                <w:bCs/>
                <w:sz w:val="20"/>
                <w:szCs w:val="20"/>
              </w:rPr>
              <w:t xml:space="preserve">12 / 13</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Arial" w:cs="Arial" w:eastAsia="Arial" w:hAnsi="Arial"/>
                <w:b/>
                <w:bCs/>
                <w:sz w:val="20"/>
                <w:szCs w:val="20"/>
              </w:rPr>
              <w:t xml:space="preserve">92,31 %  ← valor esperado máximo</w:t>
            </w:r>
          </w:p>
        </w:tc>
      </w:tr>
      <w:tr>
        <w:tc>
          <w:tcPr>
            <w:tcW w:type="dxa" w:w="25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13</w:t>
            </w:r>
          </w:p>
        </w:tc>
        <w:tc>
          <w:tcPr>
            <w:tcW w:type="dxa" w:w="35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13 / 13</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100 % (degenerado)</w:t>
            </w:r>
          </w:p>
        </w:tc>
      </w:tr>
    </w:tbl>
    <w:p>
      <w:pPr>
        <w:spacing w:after="120"/>
        <w:jc w:val="both"/>
      </w:pPr>
      <w:r>
        <w:rPr>
          <w:rFonts w:ascii="Arial" w:cs="Arial" w:eastAsia="Arial" w:hAnsi="Arial"/>
          <w:b w:val="false"/>
          <w:bCs w:val="false"/>
          <w:i w:val="false"/>
          <w:iCs w:val="false"/>
          <w:sz w:val="22"/>
          <w:szCs w:val="22"/>
        </w:rPr>
        <w:t xml:space="preserve"/>
      </w:r>
    </w:p>
    <w:p>
      <w:pPr>
        <w:spacing w:after="120"/>
        <w:jc w:val="both"/>
      </w:pPr>
      <w:r>
        <w:rPr>
          <w:rFonts w:ascii="Arial" w:cs="Arial" w:eastAsia="Arial" w:hAnsi="Arial"/>
          <w:b/>
          <w:bCs/>
          <w:i w:val="false"/>
          <w:iCs w:val="false"/>
          <w:sz w:val="22"/>
          <w:szCs w:val="22"/>
        </w:rPr>
        <w:t xml:space="preserve">El nivel nominal de 0,95 está por encima de lo que doce puntos de calibración pueden entregar en esperanza. </w:t>
      </w:r>
      <w:r>
        <w:rPr>
          <w:rFonts w:ascii="Arial" w:cs="Arial" w:eastAsia="Arial" w:hAnsi="Arial"/>
          <w:b w:val="false"/>
          <w:bCs w:val="false"/>
          <w:i w:val="false"/>
          <w:iCs w:val="false"/>
          <w:sz w:val="22"/>
          <w:szCs w:val="22"/>
        </w:rPr>
        <w:t xml:space="preserve">El valor esperado de cobertura del mayor estadístico de orden no degenerado es 12/13 = 92,31 %. Precisión corregida en esta revisión: ese valor no es un techo duro sobre la cobertura empírica —una realización finita puede caer por encima o por debajo de él— sino el centro alrededor del cual las realizaciones fluctúan. Lo estructural es que el nivel 0,95 no es alcanzable en esperanza con este tamaño de calibración.</w:t>
      </w:r>
    </w:p>
    <w:p>
      <w:pPr>
        <w:spacing w:after="120"/>
        <w:jc w:val="both"/>
      </w:pPr>
      <w:r>
        <w:rPr>
          <w:rFonts w:ascii="Arial" w:cs="Arial" w:eastAsia="Arial" w:hAnsi="Arial"/>
          <w:b/>
          <w:bCs/>
          <w:i w:val="false"/>
          <w:iCs w:val="false"/>
          <w:sz w:val="22"/>
          <w:szCs w:val="22"/>
        </w:rPr>
        <w:t xml:space="preserve">La evidencia empírica de los tres stages confirma la lectura de valor esperado: </w:t>
      </w:r>
      <w:r>
        <w:rPr>
          <w:rFonts w:ascii="Arial" w:cs="Arial" w:eastAsia="Arial" w:hAnsi="Arial"/>
          <w:b w:val="false"/>
          <w:bCs w:val="false"/>
          <w:i w:val="false"/>
          <w:iCs w:val="false"/>
          <w:sz w:val="22"/>
          <w:szCs w:val="22"/>
        </w:rPr>
        <w:t xml:space="preserve">las coberturas observadas fueron 92,06 % (N = 50), 92,65 % (N = 100) y 92,77 % (N = 200): una realización por debajo y dos por encima del 92,31 % esperado, todas a menos de medio punto porcentual de él. Que dos realizaciones superen el valor descarta la lectura de techo duro que sostenía la versión original de esta nota, y es lo que motiva la corrección de esta revisión. El método no está fallando en aproximarse al 95 %; está fluctuando alrededor de exactamente lo que su configuración permite en esperanza.</w:t>
      </w:r>
    </w:p>
    <w:p>
      <w:pPr>
        <w:spacing w:after="120"/>
        <w:jc w:val="both"/>
      </w:pPr>
      <w:r>
        <w:rPr>
          <w:rFonts w:ascii="Arial" w:cs="Arial" w:eastAsia="Arial" w:hAnsi="Arial"/>
          <w:b/>
          <w:bCs/>
          <w:i w:val="false"/>
          <w:iCs w:val="false"/>
          <w:sz w:val="22"/>
          <w:szCs w:val="22"/>
        </w:rPr>
        <w:t xml:space="preserve">Conexión con la literatura: </w:t>
      </w:r>
      <w:r>
        <w:rPr>
          <w:rFonts w:ascii="Arial" w:cs="Arial" w:eastAsia="Arial" w:hAnsi="Arial"/>
          <w:b w:val="false"/>
          <w:bCs w:val="false"/>
          <w:i w:val="false"/>
          <w:iCs w:val="false"/>
          <w:sz w:val="22"/>
          <w:szCs w:val="22"/>
        </w:rPr>
        <w:t xml:space="preserve">esta garantía por configuración es una instancia de la validez por categoría de los predictores conformales inductivos condicionales de Vovk («Conditional Validity of Inductive Conformal Predictors», JMLR W&amp;CP 25:475–490, 2012), verificada contra el PDF: el trabajo define una taxonomía que asigna cada ejemplo a una categoría preespecificada, la calibración usa solo ejemplos de la misma categoría, y la garantía de error por categoría queda establecida en la Proposition 3 (pp. 479–480). Aquí la categoría es la configuración, con n_calib = 12 puntos por estrato: la cobertura esperada del estadístico de orden de índice k es (k + 1)/(n_calib + 1), que para k = 11 reproduce el 12/13 aquí derivado. El mismo trabajo registra que la validez condicional por objeto exacta no es alcanzable en general salvo que el objeto tenga probabilidad positiva — condición que las réplicas simuladas de este programa construyen por diseño. El hallazgo deja así de ser una particularidad de la implementación y pasa a ser la aritmética de estrato finito de un esquema con teoría establecida. En la literatura conformal posterior este esquema se conoce como «Mondrian»; el término no aparece en el PDF de 2012, de modo que su uso con cita directa queda pendiente de una segunda fuente en LIT-00.</w:t>
      </w:r>
    </w:p>
    <w:p>
      <w:pPr>
        <w:pStyle w:val="Heading2"/>
        <w:spacing w:after="120" w:before="240"/>
      </w:pPr>
      <w:r>
        <w:rPr>
          <w:rFonts w:ascii="Arial" w:cs="Arial" w:eastAsia="Arial" w:hAnsi="Arial"/>
          <w:b/>
          <w:bCs/>
          <w:sz w:val="26"/>
          <w:szCs w:val="26"/>
        </w:rPr>
        <w:t xml:space="preserve">2.4 Asimetría entre brazos</w:t>
      </w:r>
    </w:p>
    <w:p>
      <w:pPr>
        <w:spacing w:after="120"/>
        <w:jc w:val="both"/>
      </w:pPr>
      <w:r>
        <w:rPr>
          <w:rFonts w:ascii="Arial" w:cs="Arial" w:eastAsia="Arial" w:hAnsi="Arial"/>
          <w:b/>
          <w:bCs/>
          <w:i w:val="false"/>
          <w:iCs w:val="false"/>
          <w:sz w:val="22"/>
          <w:szCs w:val="22"/>
        </w:rPr>
        <w:t xml:space="preserve">El colapso descrito es exclusivo del brazo principal. </w:t>
      </w:r>
      <w:r>
        <w:rPr>
          <w:rFonts w:ascii="Arial" w:cs="Arial" w:eastAsia="Arial" w:hAnsi="Arial"/>
          <w:b w:val="false"/>
          <w:bCs w:val="false"/>
          <w:i w:val="false"/>
          <w:iCs w:val="false"/>
          <w:sz w:val="22"/>
          <w:szCs w:val="22"/>
        </w:rPr>
        <w:t xml:space="preserve">El brazo de control no lo presenta, y la razón es estructural: los dos brazos calibran contra conjuntos de tamaño distinto.</w:t>
      </w:r>
    </w:p>
    <w:p>
      <w:pPr>
        <w:pStyle w:val="ListParagraph"/>
        <w:numPr>
          <w:ilvl w:val="0"/>
          <w:numId w:val="2"/>
        </w:numPr>
        <w:spacing w:after="80"/>
      </w:pPr>
      <w:r>
        <w:rPr>
          <w:rFonts w:ascii="Arial" w:cs="Arial" w:eastAsia="Arial" w:hAnsi="Arial"/>
          <w:b/>
          <w:bCs/>
          <w:i w:val="false"/>
          <w:iCs w:val="false"/>
          <w:sz w:val="22"/>
          <w:szCs w:val="22"/>
        </w:rPr>
        <w:t xml:space="preserve">El brazo principal (aux2b) </w:t>
      </w:r>
      <w:r>
        <w:rPr>
          <w:rFonts w:ascii="Arial" w:cs="Arial" w:eastAsia="Arial" w:hAnsi="Arial"/>
          <w:b w:val="false"/>
          <w:bCs w:val="false"/>
          <w:i w:val="false"/>
          <w:iCs w:val="false"/>
          <w:sz w:val="22"/>
          <w:szCs w:val="22"/>
        </w:rPr>
        <w:t xml:space="preserve">calibra contra los ground truths reservados a calibración: n = n_calib = 12, fijo, determinado por M = 25 y la partición 12 + 13.</w:t>
      </w:r>
    </w:p>
    <w:p>
      <w:pPr>
        <w:pStyle w:val="ListParagraph"/>
        <w:numPr>
          <w:ilvl w:val="0"/>
          <w:numId w:val="2"/>
        </w:numPr>
        <w:spacing w:after="80"/>
      </w:pPr>
      <w:r>
        <w:rPr>
          <w:rFonts w:ascii="Arial" w:cs="Arial" w:eastAsia="Arial" w:hAnsi="Arial"/>
          <w:b/>
          <w:bCs/>
          <w:i w:val="false"/>
          <w:iCs w:val="false"/>
          <w:sz w:val="22"/>
          <w:szCs w:val="22"/>
        </w:rPr>
        <w:t xml:space="preserve">El brazo de control (v75a) </w:t>
      </w:r>
      <w:r>
        <w:rPr>
          <w:rFonts w:ascii="Arial" w:cs="Arial" w:eastAsia="Arial" w:hAnsi="Arial"/>
          <w:b w:val="false"/>
          <w:bCs w:val="false"/>
          <w:i w:val="false"/>
          <w:iCs w:val="false"/>
          <w:sz w:val="22"/>
          <w:szCs w:val="22"/>
        </w:rPr>
        <w:t xml:space="preserve">calibra contra los propios miembros del ensemble: n = N_ensemble, que en v7.7-a toma los valores 50, 100 y 200.</w:t>
      </w:r>
    </w:p>
    <w:p>
      <w:pPr>
        <w:spacing w:after="120"/>
        <w:jc w:val="both"/>
      </w:pPr>
      <w:r>
        <w:rPr>
          <w:rFonts w:ascii="Arial" w:cs="Arial" w:eastAsia="Arial" w:hAnsi="Arial"/>
          <w:b w:val="false"/>
          <w:bCs w:val="false"/>
          <w:i w:val="false"/>
          <w:iCs w:val="false"/>
          <w:sz w:val="22"/>
          <w:szCs w:val="22"/>
        </w:rPr>
        <w:t xml:space="preserve">Aplicando la misma fórmula del estadístico de orden a cada caso:</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1500"/>
        <w:gridCol w:w="1500"/>
        <w:gridCol w:w="1400"/>
      </w:tblGrid>
      <w:tr>
        <w:tc>
          <w:tcPr>
            <w:tcW w:type="dxa" w:w="32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Brazo</w:t>
            </w:r>
          </w:p>
        </w:tc>
        <w:tc>
          <w:tcPr>
            <w:tcW w:type="dxa" w:w="24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n de calibración</w:t>
            </w:r>
          </w:p>
        </w:tc>
        <w:tc>
          <w:tcPr>
            <w:tcW w:type="dxa" w:w="15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idx(0,90)</w:t>
            </w:r>
          </w:p>
        </w:tc>
        <w:tc>
          <w:tcPr>
            <w:tcW w:type="dxa" w:w="15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idx(0,95)</w:t>
            </w:r>
          </w:p>
        </w:tc>
        <w:tc>
          <w:tcPr>
            <w:tcW w:type="dxa" w:w="14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Valor esperado n/(n+1)</w:t>
            </w:r>
          </w:p>
        </w:tc>
      </w:tr>
      <w:tr>
        <w:tc>
          <w:tcPr>
            <w:tcW w:type="dxa" w:w="32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Arial" w:cs="Arial" w:eastAsia="Arial" w:hAnsi="Arial"/>
                <w:b/>
                <w:bCs/>
                <w:sz w:val="20"/>
                <w:szCs w:val="20"/>
              </w:rPr>
              <w:t xml:space="preserve">Principal (cualquier N)</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Arial" w:cs="Arial" w:eastAsia="Arial" w:hAnsi="Arial"/>
                <w:b/>
                <w:bCs/>
                <w:sz w:val="20"/>
                <w:szCs w:val="20"/>
              </w:rPr>
              <w:t xml:space="preserve">12 (fijo)</w:t>
            </w:r>
          </w:p>
        </w:tc>
        <w:tc>
          <w:tcPr>
            <w:tcW w:type="dxa" w:w="1500"/>
            <w:tcBorders>
              <w:top w:val="single" w:color="888888" w:sz="1"/>
              <w:left w:val="single" w:color="888888" w:sz="1"/>
              <w:bottom w:val="single" w:color="888888" w:sz="1"/>
              <w:right w:val="single" w:color="888888" w:sz="1"/>
            </w:tcBorders>
            <w:shd w:fill="FBE4D5" w:val="clear"/>
            <w:tcMar>
              <w:top w:type="dxa" w:w="80"/>
              <w:left w:type="dxa" w:w="120"/>
              <w:bottom w:type="dxa" w:w="80"/>
              <w:right w:type="dxa" w:w="120"/>
            </w:tcMar>
          </w:tcPr>
          <w:p>
            <w:pPr>
              <w:jc w:val="left"/>
            </w:pPr>
            <w:r>
              <w:rPr>
                <w:rFonts w:ascii="Arial" w:cs="Arial" w:eastAsia="Arial" w:hAnsi="Arial"/>
                <w:b/>
                <w:bCs/>
                <w:sz w:val="20"/>
                <w:szCs w:val="20"/>
              </w:rPr>
              <w:t xml:space="preserve">11</w:t>
            </w:r>
          </w:p>
        </w:tc>
        <w:tc>
          <w:tcPr>
            <w:tcW w:type="dxa" w:w="1500"/>
            <w:tcBorders>
              <w:top w:val="single" w:color="888888" w:sz="1"/>
              <w:left w:val="single" w:color="888888" w:sz="1"/>
              <w:bottom w:val="single" w:color="888888" w:sz="1"/>
              <w:right w:val="single" w:color="888888" w:sz="1"/>
            </w:tcBorders>
            <w:shd w:fill="FBE4D5" w:val="clear"/>
            <w:tcMar>
              <w:top w:type="dxa" w:w="80"/>
              <w:left w:type="dxa" w:w="120"/>
              <w:bottom w:type="dxa" w:w="80"/>
              <w:right w:type="dxa" w:w="120"/>
            </w:tcMar>
          </w:tcPr>
          <w:p>
            <w:pPr>
              <w:jc w:val="left"/>
            </w:pPr>
            <w:r>
              <w:rPr>
                <w:rFonts w:ascii="Arial" w:cs="Arial" w:eastAsia="Arial" w:hAnsi="Arial"/>
                <w:b/>
                <w:bCs/>
                <w:sz w:val="20"/>
                <w:szCs w:val="20"/>
              </w:rPr>
              <w:t xml:space="preserve">11</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Arial" w:cs="Arial" w:eastAsia="Arial" w:hAnsi="Arial"/>
                <w:b/>
                <w:bCs/>
                <w:sz w:val="20"/>
                <w:szCs w:val="20"/>
              </w:rPr>
              <w:t xml:space="preserve">92,31 %</w:t>
            </w:r>
          </w:p>
        </w:tc>
      </w:tr>
      <w:tr>
        <w:tc>
          <w:tcPr>
            <w:tcW w:type="dxa" w:w="32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Control, N = 50</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50</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45</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48</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98,04 %</w:t>
            </w:r>
          </w:p>
        </w:tc>
      </w:tr>
      <w:tr>
        <w:tc>
          <w:tcPr>
            <w:tcW w:type="dxa" w:w="32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Control, N = 100</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100</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90</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95</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99,01 %</w:t>
            </w:r>
          </w:p>
        </w:tc>
      </w:tr>
      <w:tr>
        <w:tc>
          <w:tcPr>
            <w:tcW w:type="dxa" w:w="32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Control, N = 200</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200</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180</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190</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99,50 %</w:t>
            </w:r>
          </w:p>
        </w:tc>
      </w:tr>
    </w:tbl>
    <w:p>
      <w:pPr>
        <w:spacing w:after="120"/>
        <w:jc w:val="both"/>
      </w:pPr>
      <w:r>
        <w:rPr>
          <w:rFonts w:ascii="Arial" w:cs="Arial" w:eastAsia="Arial" w:hAnsi="Arial"/>
          <w:b w:val="false"/>
          <w:bCs w:val="false"/>
          <w:i w:val="false"/>
          <w:iCs w:val="false"/>
          <w:sz w:val="22"/>
          <w:szCs w:val="22"/>
        </w:rPr>
        <w:t xml:space="preserve"/>
      </w:r>
    </w:p>
    <w:p>
      <w:pPr>
        <w:spacing w:after="120"/>
        <w:jc w:val="both"/>
      </w:pPr>
      <w:r>
        <w:rPr>
          <w:rFonts w:ascii="Arial" w:cs="Arial" w:eastAsia="Arial" w:hAnsi="Arial"/>
          <w:b/>
          <w:bCs/>
          <w:i w:val="false"/>
          <w:iCs w:val="false"/>
          <w:sz w:val="22"/>
          <w:szCs w:val="22"/>
        </w:rPr>
        <w:t xml:space="preserve">En el control los índices se separan en los tres valores de N, y su resolución de cuantiles mejora conforme el ensemble crece. </w:t>
      </w:r>
      <w:r>
        <w:rPr>
          <w:rFonts w:ascii="Arial" w:cs="Arial" w:eastAsia="Arial" w:hAnsi="Arial"/>
          <w:b w:val="false"/>
          <w:bCs w:val="false"/>
          <w:i w:val="false"/>
          <w:iCs w:val="false"/>
          <w:sz w:val="22"/>
          <w:szCs w:val="22"/>
        </w:rPr>
        <w:t xml:space="preserve">En el principal el índice permanece clavado en 11 con independencia de N. Coherentemente, el stage 1 arroja coberturas separadas en el control (98,71 % y 99,33 % en 0,90 y 0,95 respectivamente) frente a las coberturas idénticas del principal.</w:t>
      </w:r>
    </w:p>
    <w:p>
      <w:pPr>
        <w:spacing w:after="120"/>
        <w:jc w:val="both"/>
      </w:pPr>
      <w:r>
        <w:rPr>
          <w:rFonts w:ascii="Arial" w:cs="Arial" w:eastAsia="Arial" w:hAnsi="Arial"/>
          <w:b w:val="false"/>
          <w:bCs w:val="false"/>
          <w:i w:val="false"/>
          <w:iCs w:val="false"/>
          <w:sz w:val="22"/>
          <w:szCs w:val="22"/>
        </w:rPr>
        <w:t xml:space="preserve">De esto se siguen dos consecuencias que conviene dejar declaradas:</w:t>
      </w:r>
    </w:p>
    <w:p>
      <w:pPr>
        <w:pStyle w:val="ListParagraph"/>
        <w:numPr>
          <w:ilvl w:val="0"/>
          <w:numId w:val="2"/>
        </w:numPr>
        <w:spacing w:after="80"/>
      </w:pPr>
      <w:r>
        <w:rPr>
          <w:rFonts w:ascii="Arial" w:cs="Arial" w:eastAsia="Arial" w:hAnsi="Arial"/>
          <w:b/>
          <w:bCs/>
          <w:i w:val="false"/>
          <w:iCs w:val="false"/>
          <w:sz w:val="22"/>
          <w:szCs w:val="22"/>
        </w:rPr>
        <w:t xml:space="preserve">El brazo de control tiene, en los niveles altos, mayor resolución de cuantiles que el brazo bajo evaluación. </w:t>
      </w:r>
      <w:r>
        <w:rPr>
          <w:rFonts w:ascii="Arial" w:cs="Arial" w:eastAsia="Arial" w:hAnsi="Arial"/>
          <w:b w:val="false"/>
          <w:bCs w:val="false"/>
          <w:i w:val="false"/>
          <w:iCs w:val="false"/>
          <w:sz w:val="22"/>
          <w:szCs w:val="22"/>
        </w:rPr>
        <w:t xml:space="preserve">Es una asimetría del diseño, no un defecto de implementación: proviene de que las dos formulaciones calibran contra conjuntos distintos, que es exactamente la diferencia metodológica que el control existe para exhibir. Aun así, un revisor externo puede señalarla, y es preferible tenerla declarada que deducida.</w:t>
      </w:r>
    </w:p>
    <w:p>
      <w:pPr>
        <w:pStyle w:val="ListParagraph"/>
        <w:numPr>
          <w:ilvl w:val="0"/>
          <w:numId w:val="2"/>
        </w:numPr>
        <w:spacing w:after="80"/>
      </w:pPr>
      <w:r>
        <w:rPr>
          <w:rFonts w:ascii="Arial" w:cs="Arial" w:eastAsia="Arial" w:hAnsi="Arial"/>
          <w:b/>
          <w:bCs/>
          <w:i w:val="false"/>
          <w:iCs w:val="false"/>
          <w:sz w:val="22"/>
          <w:szCs w:val="22"/>
        </w:rPr>
        <w:t xml:space="preserve">La función del control no se ve comprometida. </w:t>
      </w:r>
      <w:r>
        <w:rPr>
          <w:rFonts w:ascii="Arial" w:cs="Arial" w:eastAsia="Arial" w:hAnsi="Arial"/>
          <w:b w:val="false"/>
          <w:bCs w:val="false"/>
          <w:i w:val="false"/>
          <w:iCs w:val="false"/>
          <w:sz w:val="22"/>
          <w:szCs w:val="22"/>
        </w:rPr>
        <w:t xml:space="preserve">El control existe para replicar el patrón de fallo de v7.5-a, y ese fallo se manifiesta en los niveles bajos e intermedios —ErrCal(α = 0,30) y ErrCal(α = 0,50), del orden de 30 puntos porcentuales— donde ninguno de los dos brazos sufre saturación. Las cinco replicaciones consecutivas del control negativo se sostienen íntegramente.</w:t>
      </w:r>
    </w:p>
    <w:p>
      <w:pPr>
        <w:spacing w:after="120"/>
        <w:jc w:val="both"/>
      </w:pPr>
      <w:r>
        <w:rPr>
          <w:rFonts w:ascii="Arial" w:cs="Arial" w:eastAsia="Arial" w:hAnsi="Arial"/>
          <w:b/>
          <w:bCs/>
          <w:i w:val="false"/>
          <w:iCs w:val="false"/>
          <w:sz w:val="22"/>
          <w:szCs w:val="22"/>
        </w:rPr>
        <w:t xml:space="preserve">Predicción adicional registrada: </w:t>
      </w:r>
      <w:r>
        <w:rPr>
          <w:rFonts w:ascii="Arial" w:cs="Arial" w:eastAsia="Arial" w:hAnsi="Arial"/>
          <w:b w:val="false"/>
          <w:bCs w:val="false"/>
          <w:i w:val="false"/>
          <w:iCs w:val="false"/>
          <w:sz w:val="22"/>
          <w:szCs w:val="22"/>
        </w:rPr>
        <w:t xml:space="preserve">al consolidar v7.7-a, las coberturas de 0,90 y 0,95 en el brazo de control deben permanecer separadas en los tres valores de N. Esto es complementario a la predicción de la sección 4.1 y verificable con los mismos datos. La evolución de la magnitud de esa separación con N no se registra como predicción: la brecha entre ambas coberturas corresponde a la masa de la distribución de puntuaciones de los ground truths comprendida entre los cuantiles 0,90 y 0,95 de las puntuaciones propias del ensemble, cantidad que la aritmética del estadístico de orden no determina. Lo que mejora con N es la resolución de los cuantiles del control —los índices convergen a las proporciones nominales 0,90 y 0,95, no entre sí—, de modo que la magnitud de la brecha queda como observación exploratoria, sin dirección registrada.</w:t>
      </w:r>
    </w:p>
    <w:p>
      <w:pPr>
        <w:spacing w:after="120"/>
        <w:jc w:val="both"/>
      </w:pPr>
      <w:r>
        <w:rPr>
          <w:rFonts w:ascii="Arial" w:cs="Arial" w:eastAsia="Arial" w:hAnsi="Arial"/>
          <w:b/>
          <w:bCs/>
          <w:i w:val="false"/>
          <w:iCs w:val="false"/>
          <w:sz w:val="22"/>
          <w:szCs w:val="22"/>
        </w:rPr>
        <w:t xml:space="preserve">Cierre al consolidar v7.7-a (revisión 4): </w:t>
      </w:r>
      <w:r>
        <w:rPr>
          <w:rFonts w:ascii="Arial" w:cs="Arial" w:eastAsia="Arial" w:hAnsi="Arial"/>
          <w:b w:val="false"/>
          <w:bCs w:val="false"/>
          <w:i w:val="false"/>
          <w:iCs w:val="false"/>
          <w:sz w:val="22"/>
          <w:szCs w:val="22"/>
        </w:rPr>
        <w:t xml:space="preserve">la predicción se verificó en los tres N — coberturas del control separadas: 98,71 % / 99,33 % (N = 50), 98,51 % / 99,23 % (N = 100) y 98,48 % / 99,34 % (N = 200). La observación exploratoria arrojó además un ensanchamiento monótono de la brecha: 0,62 → 0,73 → 0,86 puntos porcentuales. Tres observaciones consecutivas contra la intuición de estrechamiento que la revisión 2 retiró de las predicciones registradas: el retiro queda vindicado por los datos.</w:t>
      </w:r>
    </w:p>
    <w:p>
      <w:r>
        <w:br w:type="page"/>
      </w:r>
    </w:p>
    <w:p>
      <w:pPr>
        <w:pStyle w:val="Heading1"/>
        <w:spacing w:after="180" w:before="360"/>
      </w:pPr>
      <w:r>
        <w:rPr>
          <w:rFonts w:ascii="Arial" w:cs="Arial" w:eastAsia="Arial" w:hAnsi="Arial"/>
          <w:b/>
          <w:bCs/>
          <w:sz w:val="32"/>
          <w:szCs w:val="32"/>
        </w:rPr>
        <w:t xml:space="preserve">3. Consecuencias</w:t>
      </w:r>
    </w:p>
    <w:p>
      <w:pPr>
        <w:pStyle w:val="Heading2"/>
        <w:spacing w:after="120" w:before="240"/>
      </w:pPr>
      <w:r>
        <w:rPr>
          <w:rFonts w:ascii="Arial" w:cs="Arial" w:eastAsia="Arial" w:hAnsi="Arial"/>
          <w:b/>
          <w:bCs/>
          <w:sz w:val="26"/>
          <w:szCs w:val="26"/>
        </w:rPr>
        <w:t xml:space="preserve">3.1 Sobre el criterio C10.c</w:t>
      </w:r>
    </w:p>
    <w:p>
      <w:pPr>
        <w:spacing w:after="120"/>
        <w:jc w:val="both"/>
      </w:pPr>
      <w:r>
        <w:rPr>
          <w:rFonts w:ascii="Arial" w:cs="Arial" w:eastAsia="Arial" w:hAnsi="Arial"/>
          <w:b w:val="false"/>
          <w:bCs w:val="false"/>
          <w:i w:val="false"/>
          <w:iCs w:val="false"/>
          <w:sz w:val="22"/>
          <w:szCs w:val="22"/>
        </w:rPr>
        <w:t xml:space="preserve">El criterio C10.c de v7.7-a exige Cov_emp(0,95) ≥ 90 %. El stage 1 lo cumple con 92,06 %.</w:t>
      </w:r>
    </w:p>
    <w:p>
      <w:pPr>
        <w:spacing w:after="120"/>
        <w:jc w:val="both"/>
      </w:pPr>
      <w:r>
        <w:rPr>
          <w:rFonts w:ascii="Arial" w:cs="Arial" w:eastAsia="Arial" w:hAnsi="Arial"/>
          <w:b/>
          <w:bCs/>
          <w:i w:val="false"/>
          <w:iCs w:val="false"/>
          <w:sz w:val="22"/>
          <w:szCs w:val="22"/>
        </w:rPr>
        <w:t xml:space="preserve">Sin embargo, el criterio se satisface por el valor esperado estructural, no por calibración al nivel nominal. </w:t>
      </w:r>
      <w:r>
        <w:rPr>
          <w:rFonts w:ascii="Arial" w:cs="Arial" w:eastAsia="Arial" w:hAnsi="Arial"/>
          <w:b w:val="false"/>
          <w:bCs w:val="false"/>
          <w:i w:val="false"/>
          <w:iCs w:val="false"/>
          <w:sz w:val="22"/>
          <w:szCs w:val="22"/>
        </w:rPr>
        <w:t xml:space="preserve">El valor esperado de 92,31 % cae por encima del umbral de 90 % exigido, de modo que C10.c se cumple automáticamente siempre que el método opere cerca de él. El criterio, tal como está formulado, no discrimina entre un método bien calibrado a 0,95 y uno que simplemente satura.</w:t>
      </w:r>
    </w:p>
    <w:p>
      <w:pPr>
        <w:spacing w:after="120"/>
        <w:jc w:val="both"/>
      </w:pPr>
      <w:r>
        <w:rPr>
          <w:rFonts w:ascii="Arial" w:cs="Arial" w:eastAsia="Arial" w:hAnsi="Arial"/>
          <w:b w:val="false"/>
          <w:bCs w:val="false"/>
          <w:i w:val="false"/>
          <w:iCs w:val="false"/>
          <w:sz w:val="22"/>
          <w:szCs w:val="22"/>
        </w:rPr>
        <w:t xml:space="preserve">Esta observación vale para la formulación equivalente en las versiones anteriores (C9.c, C8.c, C7.c).</w:t>
      </w:r>
    </w:p>
    <w:p>
      <w:pPr>
        <w:pStyle w:val="Heading2"/>
        <w:spacing w:after="120" w:before="240"/>
      </w:pPr>
      <w:r>
        <w:rPr>
          <w:rFonts w:ascii="Arial" w:cs="Arial" w:eastAsia="Arial" w:hAnsi="Arial"/>
          <w:b/>
          <w:bCs/>
          <w:sz w:val="26"/>
          <w:szCs w:val="26"/>
        </w:rPr>
        <w:t xml:space="preserve">3.2 Sobre la métrica ErrCal(0,95)</w:t>
      </w:r>
    </w:p>
    <w:p>
      <w:pPr>
        <w:spacing w:after="120"/>
        <w:jc w:val="both"/>
      </w:pPr>
      <w:r>
        <w:rPr>
          <w:rFonts w:ascii="Arial" w:cs="Arial" w:eastAsia="Arial" w:hAnsi="Arial"/>
          <w:b/>
          <w:bCs/>
          <w:i w:val="false"/>
          <w:iCs w:val="false"/>
          <w:sz w:val="22"/>
          <w:szCs w:val="22"/>
        </w:rPr>
        <w:t xml:space="preserve">ErrCal(0,95) no está midiendo error de calibración en ese nivel. </w:t>
      </w:r>
      <w:r>
        <w:rPr>
          <w:rFonts w:ascii="Arial" w:cs="Arial" w:eastAsia="Arial" w:hAnsi="Arial"/>
          <w:b w:val="false"/>
          <w:bCs w:val="false"/>
          <w:i w:val="false"/>
          <w:iCs w:val="false"/>
          <w:sz w:val="22"/>
          <w:szCs w:val="22"/>
        </w:rPr>
        <w:t xml:space="preserve">Está midiendo la distancia entre la cobertura observada y un objetivo inalcanzable, es decir, esencialmente la distancia al valor esperado estructural más el hueco irreducible de 2,69 puntos porcentuales que separa 92,31 % de 95 %.</w:t>
      </w:r>
    </w:p>
    <w:p>
      <w:pPr>
        <w:spacing w:after="120"/>
        <w:jc w:val="both"/>
      </w:pPr>
      <w:r>
        <w:rPr>
          <w:rFonts w:ascii="Arial" w:cs="Arial" w:eastAsia="Arial" w:hAnsi="Arial"/>
          <w:b w:val="false"/>
          <w:bCs w:val="false"/>
          <w:i w:val="false"/>
          <w:iCs w:val="false"/>
          <w:sz w:val="22"/>
          <w:szCs w:val="22"/>
        </w:rPr>
        <w:t xml:space="preserve">Esto explica retroactivamente un patrón recurrente del programa: los valores de ErrCal en el nivel 0,95 han sido sistemáticamente pequeños y estables a través de versiones y datasets muy distintos. No era señal de calibración excepcional en el extremo superior; era la saturación del estadístico de orden.</w:t>
      </w:r>
    </w:p>
    <w:p>
      <w:pPr>
        <w:pStyle w:val="Heading2"/>
        <w:spacing w:after="120" w:before="240"/>
      </w:pPr>
      <w:r>
        <w:rPr>
          <w:rFonts w:ascii="Arial" w:cs="Arial" w:eastAsia="Arial" w:hAnsi="Arial"/>
          <w:b/>
          <w:bCs/>
          <w:sz w:val="26"/>
          <w:szCs w:val="26"/>
        </w:rPr>
        <w:t xml:space="preserve">3.3 Sobre el tamaño efectivo de la grilla</w:t>
      </w:r>
    </w:p>
    <w:p>
      <w:pPr>
        <w:spacing w:after="120"/>
        <w:jc w:val="both"/>
      </w:pPr>
      <w:r>
        <w:rPr>
          <w:rFonts w:ascii="Arial" w:cs="Arial" w:eastAsia="Arial" w:hAnsi="Arial"/>
          <w:b/>
          <w:bCs/>
          <w:i w:val="false"/>
          <w:iCs w:val="false"/>
          <w:sz w:val="22"/>
          <w:szCs w:val="22"/>
        </w:rPr>
        <w:t xml:space="preserve">El programa reporta cinco niveles nominales, pero opera con cuatro umbrales distintos. </w:t>
      </w:r>
      <w:r>
        <w:rPr>
          <w:rFonts w:ascii="Arial" w:cs="Arial" w:eastAsia="Arial" w:hAnsi="Arial"/>
          <w:b w:val="false"/>
          <w:bCs w:val="false"/>
          <w:i w:val="false"/>
          <w:iCs w:val="false"/>
          <w:sz w:val="22"/>
          <w:szCs w:val="22"/>
        </w:rPr>
        <w:t xml:space="preserve">Los índices efectivamente utilizados son 3, 6, 10 y 11. Los niveles 0,90 y 0,95 comparten el índice 11.</w:t>
      </w:r>
    </w:p>
    <w:p>
      <w:pPr>
        <w:spacing w:after="120"/>
        <w:jc w:val="both"/>
      </w:pPr>
      <w:r>
        <w:rPr>
          <w:rFonts w:ascii="Arial" w:cs="Arial" w:eastAsia="Arial" w:hAnsi="Arial"/>
          <w:b w:val="false"/>
          <w:bCs w:val="false"/>
          <w:i w:val="false"/>
          <w:iCs w:val="false"/>
          <w:sz w:val="22"/>
          <w:szCs w:val="22"/>
        </w:rPr>
        <w:t xml:space="preserve">En consecuencia, el criterio de la forma "ErrCal ≤ 10 pp en al menos 4 de 5 niveles" (C10.a y equivalentes) se evalúa en realidad sobre cuatro cantidades independientes, una de las cuales se cuenta dos veces. Esto no invalida los veredictos históricos —todos ellos cumplieron en 5 de 5 niveles, de modo que el conteo no fue nunca el factor decisivo— pero sí conviene tenerlo presente en cualquier veredicto futuro que se resuelva por margen estrecho de conteo.</w:t>
      </w:r>
    </w:p>
    <w:p>
      <w:pPr>
        <w:pStyle w:val="Heading2"/>
        <w:spacing w:after="120" w:before="240"/>
      </w:pPr>
      <w:r>
        <w:rPr>
          <w:rFonts w:ascii="Arial" w:cs="Arial" w:eastAsia="Arial" w:hAnsi="Arial"/>
          <w:b/>
          <w:bCs/>
          <w:sz w:val="26"/>
          <w:szCs w:val="26"/>
        </w:rPr>
        <w:t xml:space="preserve">3.4 Alcance retroactivo</w:t>
      </w:r>
    </w:p>
    <w:p>
      <w:pPr>
        <w:spacing w:after="120"/>
        <w:jc w:val="both"/>
      </w:pPr>
      <w:r>
        <w:rPr>
          <w:rFonts w:ascii="Arial" w:cs="Arial" w:eastAsia="Arial" w:hAnsi="Arial"/>
          <w:b w:val="false"/>
          <w:bCs w:val="false"/>
          <w:i w:val="false"/>
          <w:iCs w:val="false"/>
          <w:sz w:val="22"/>
          <w:szCs w:val="22"/>
        </w:rPr>
        <w:t xml:space="preserve">La limitación no es propia de v7.7-a. Todas las versiones del programa que emplearon M = 25 con partición 12 + 13 comparten exactamente la misma aritmética:</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1600"/>
        <w:gridCol w:w="1900"/>
      </w:tblGrid>
      <w:tr>
        <w:tc>
          <w:tcPr>
            <w:tcW w:type="dxa" w:w="22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Versión</w:t>
            </w:r>
          </w:p>
        </w:tc>
        <w:tc>
          <w:tcPr>
            <w:tcW w:type="dxa" w:w="43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Test</w:t>
            </w:r>
          </w:p>
        </w:tc>
        <w:tc>
          <w:tcPr>
            <w:tcW w:type="dxa" w:w="16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n_calib</w:t>
            </w:r>
          </w:p>
        </w:tc>
        <w:tc>
          <w:tcPr>
            <w:tcW w:type="dxa" w:w="19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Afectada</w:t>
            </w:r>
          </w:p>
        </w:tc>
      </w:tr>
      <w:tr>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v7.5-b</w:t>
            </w:r>
          </w:p>
        </w:tc>
        <w:tc>
          <w:tcPr>
            <w:tcW w:type="dxa" w:w="43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In-distribution</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12</w:t>
            </w:r>
          </w:p>
        </w:tc>
        <w:tc>
          <w:tcPr>
            <w:tcW w:type="dxa" w:w="19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Sí</w:t>
            </w:r>
          </w:p>
        </w:tc>
      </w:tr>
      <w:tr>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v7.6-a</w:t>
            </w:r>
          </w:p>
        </w:tc>
        <w:tc>
          <w:tcPr>
            <w:tcW w:type="dxa" w:w="43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OOD cercano</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12</w:t>
            </w:r>
          </w:p>
        </w:tc>
        <w:tc>
          <w:tcPr>
            <w:tcW w:type="dxa" w:w="19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Sí</w:t>
            </w:r>
          </w:p>
        </w:tc>
      </w:tr>
      <w:tr>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v7.6-b</w:t>
            </w:r>
          </w:p>
        </w:tc>
        <w:tc>
          <w:tcPr>
            <w:tcW w:type="dxa" w:w="43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OOD lejano (5 tipos)</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12</w:t>
            </w:r>
          </w:p>
        </w:tc>
        <w:tc>
          <w:tcPr>
            <w:tcW w:type="dxa" w:w="19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Sí</w:t>
            </w:r>
          </w:p>
        </w:tc>
      </w:tr>
      <w:tr>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v7.6-c</w:t>
            </w:r>
          </w:p>
        </w:tc>
        <w:tc>
          <w:tcPr>
            <w:tcW w:type="dxa" w:w="43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Diagnóstico escape_temprano</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12</w:t>
            </w:r>
          </w:p>
        </w:tc>
        <w:tc>
          <w:tcPr>
            <w:tcW w:type="dxa" w:w="19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Sí</w:t>
            </w:r>
          </w:p>
        </w:tc>
      </w:tr>
      <w:tr>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Arial" w:cs="Arial" w:eastAsia="Arial" w:hAnsi="Arial"/>
                <w:b/>
                <w:bCs/>
                <w:sz w:val="20"/>
                <w:szCs w:val="20"/>
              </w:rPr>
              <w:t xml:space="preserve">v7.7-a</w:t>
            </w:r>
          </w:p>
        </w:tc>
        <w:tc>
          <w:tcPr>
            <w:tcW w:type="dxa" w:w="43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Arial" w:cs="Arial" w:eastAsia="Arial" w:hAnsi="Arial"/>
                <w:b/>
                <w:bCs/>
                <w:sz w:val="20"/>
                <w:szCs w:val="20"/>
              </w:rPr>
              <w:t xml:space="preserve">Escalamiento del ensemble</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Arial" w:cs="Arial" w:eastAsia="Arial" w:hAnsi="Arial"/>
                <w:b/>
                <w:bCs/>
                <w:sz w:val="20"/>
                <w:szCs w:val="20"/>
              </w:rPr>
              <w:t xml:space="preserve">12</w:t>
            </w:r>
          </w:p>
        </w:tc>
        <w:tc>
          <w:tcPr>
            <w:tcW w:type="dxa" w:w="19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Arial" w:cs="Arial" w:eastAsia="Arial" w:hAnsi="Arial"/>
                <w:b/>
                <w:bCs/>
                <w:sz w:val="20"/>
                <w:szCs w:val="20"/>
              </w:rPr>
              <w:t xml:space="preserve">Sí</w:t>
            </w:r>
          </w:p>
        </w:tc>
      </w:tr>
    </w:tbl>
    <w:p>
      <w:pPr>
        <w:spacing w:after="120"/>
        <w:jc w:val="both"/>
      </w:pPr>
      <w:r>
        <w:rPr>
          <w:rFonts w:ascii="Arial" w:cs="Arial" w:eastAsia="Arial" w:hAnsi="Arial"/>
          <w:b w:val="false"/>
          <w:bCs w:val="false"/>
          <w:i w:val="false"/>
          <w:iCs w:val="false"/>
          <w:sz w:val="22"/>
          <w:szCs w:val="22"/>
        </w:rPr>
        <w:t xml:space="preserve"/>
      </w:r>
    </w:p>
    <w:p>
      <w:pPr>
        <w:spacing w:after="120"/>
        <w:jc w:val="both"/>
      </w:pPr>
      <w:r>
        <w:rPr>
          <w:rFonts w:ascii="Arial" w:cs="Arial" w:eastAsia="Arial" w:hAnsi="Arial"/>
          <w:b/>
          <w:bCs/>
          <w:i w:val="false"/>
          <w:iCs w:val="false"/>
          <w:sz w:val="22"/>
          <w:szCs w:val="22"/>
        </w:rPr>
        <w:t xml:space="preserve">Ningún veredicto previo cambia. </w:t>
      </w:r>
      <w:r>
        <w:rPr>
          <w:rFonts w:ascii="Arial" w:cs="Arial" w:eastAsia="Arial" w:hAnsi="Arial"/>
          <w:b w:val="false"/>
          <w:bCs w:val="false"/>
          <w:i w:val="false"/>
          <w:iCs w:val="false"/>
          <w:sz w:val="22"/>
          <w:szCs w:val="22"/>
        </w:rPr>
        <w:t xml:space="preserve">Los criterios que decidieron cada cierre fueron los de calibración en niveles bajos e intermedios —en particular ErrCal(α = 0,50), donde el índice 6 está lejos de cualquier saturación— y esos resultados permanecen intactos. Lo que cambia es la interpretación del nivel 0,95 en la documentación existente.</w:t>
      </w:r>
    </w:p>
    <w:p>
      <w:r>
        <w:br w:type="page"/>
      </w:r>
    </w:p>
    <w:p>
      <w:pPr>
        <w:pStyle w:val="Heading1"/>
        <w:spacing w:after="180" w:before="360"/>
      </w:pPr>
      <w:r>
        <w:rPr>
          <w:rFonts w:ascii="Arial" w:cs="Arial" w:eastAsia="Arial" w:hAnsi="Arial"/>
          <w:b/>
          <w:bCs/>
          <w:sz w:val="32"/>
          <w:szCs w:val="32"/>
        </w:rPr>
        <w:t xml:space="preserve">4. Por Qué el Escalamiento del Ensemble No Lo Resuelve</w:t>
      </w:r>
    </w:p>
    <w:p>
      <w:pPr>
        <w:pStyle w:val="Heading2"/>
        <w:spacing w:after="120" w:before="240"/>
      </w:pPr>
      <w:r>
        <w:rPr>
          <w:rFonts w:ascii="Arial" w:cs="Arial" w:eastAsia="Arial" w:hAnsi="Arial"/>
          <w:b/>
          <w:bCs/>
          <w:sz w:val="26"/>
          <w:szCs w:val="26"/>
        </w:rPr>
        <w:t xml:space="preserve">4.1 La hipótesis natural y por qué falla</w:t>
      </w:r>
    </w:p>
    <w:p>
      <w:pPr>
        <w:spacing w:after="120"/>
        <w:jc w:val="both"/>
      </w:pPr>
      <w:r>
        <w:rPr>
          <w:rFonts w:ascii="Arial" w:cs="Arial" w:eastAsia="Arial" w:hAnsi="Arial"/>
          <w:b w:val="false"/>
          <w:bCs w:val="false"/>
          <w:i w:val="false"/>
          <w:iCs w:val="false"/>
          <w:sz w:val="22"/>
          <w:szCs w:val="22"/>
        </w:rPr>
        <w:t xml:space="preserve">Ante una observación de este tipo, la hipótesis intuitiva es atribuirla a resolución insuficiente y esperar que se resuelva sola al aumentar la muestra. Aplicada a v7.7-a, esa hipótesis predice que los niveles 0,90 y 0,95 se separarán en los stages con N_ensemble = 100 y N_ensemble = 200.</w:t>
      </w:r>
    </w:p>
    <w:p>
      <w:pPr>
        <w:spacing w:after="120"/>
        <w:jc w:val="both"/>
      </w:pPr>
      <w:r>
        <w:rPr>
          <w:rFonts w:ascii="Arial" w:cs="Arial" w:eastAsia="Arial" w:hAnsi="Arial"/>
          <w:b/>
          <w:bCs/>
          <w:i w:val="false"/>
          <w:iCs w:val="false"/>
          <w:sz w:val="22"/>
          <w:szCs w:val="22"/>
        </w:rPr>
        <w:t xml:space="preserve">Esa predicción es falsa, y puede descartarse antes de correr los stages. </w:t>
      </w:r>
      <w:r>
        <w:rPr>
          <w:rFonts w:ascii="Arial" w:cs="Arial" w:eastAsia="Arial" w:hAnsi="Arial"/>
          <w:b w:val="false"/>
          <w:bCs w:val="false"/>
          <w:i w:val="false"/>
          <w:iCs w:val="false"/>
          <w:sz w:val="22"/>
          <w:szCs w:val="22"/>
        </w:rPr>
        <w:t xml:space="preserve">El parámetro que gobierna el fenómeno es n_calib, no N_ensemble. Son cantidades independientes:</w:t>
      </w:r>
    </w:p>
    <w:p>
      <w:pPr>
        <w:pStyle w:val="ListParagraph"/>
        <w:numPr>
          <w:ilvl w:val="0"/>
          <w:numId w:val="2"/>
        </w:numPr>
        <w:spacing w:after="80"/>
      </w:pPr>
      <w:r>
        <w:rPr>
          <w:rFonts w:ascii="Arial" w:cs="Arial" w:eastAsia="Arial" w:hAnsi="Arial"/>
          <w:b/>
          <w:bCs/>
          <w:i w:val="false"/>
          <w:iCs w:val="false"/>
          <w:sz w:val="22"/>
          <w:szCs w:val="22"/>
        </w:rPr>
        <w:t xml:space="preserve">N_ensemble </w:t>
      </w:r>
      <w:r>
        <w:rPr>
          <w:rFonts w:ascii="Arial" w:cs="Arial" w:eastAsia="Arial" w:hAnsi="Arial"/>
          <w:b w:val="false"/>
          <w:bCs w:val="false"/>
          <w:i w:val="false"/>
          <w:iCs w:val="false"/>
          <w:sz w:val="22"/>
          <w:szCs w:val="22"/>
        </w:rPr>
        <w:t xml:space="preserve">es el número de trayectorias del ensemble de predicción. Es la variable que v7.7-a hace variar entre 50, 100 y 200. Determina la densidad geométrica del conjunto de referencia contra el que se calculan las puntuaciones kNN.</w:t>
      </w:r>
    </w:p>
    <w:p>
      <w:pPr>
        <w:pStyle w:val="ListParagraph"/>
        <w:numPr>
          <w:ilvl w:val="0"/>
          <w:numId w:val="2"/>
        </w:numPr>
        <w:spacing w:after="80"/>
      </w:pPr>
      <w:r>
        <w:rPr>
          <w:rFonts w:ascii="Arial" w:cs="Arial" w:eastAsia="Arial" w:hAnsi="Arial"/>
          <w:b/>
          <w:bCs/>
          <w:i w:val="false"/>
          <w:iCs w:val="false"/>
          <w:sz w:val="22"/>
          <w:szCs w:val="22"/>
        </w:rPr>
        <w:t xml:space="preserve">n_calib </w:t>
      </w:r>
      <w:r>
        <w:rPr>
          <w:rFonts w:ascii="Arial" w:cs="Arial" w:eastAsia="Arial" w:hAnsi="Arial"/>
          <w:b w:val="false"/>
          <w:bCs w:val="false"/>
          <w:i w:val="false"/>
          <w:iCs w:val="false"/>
          <w:sz w:val="22"/>
          <w:szCs w:val="22"/>
        </w:rPr>
        <w:t xml:space="preserve">es el número de ground truths destinados a calibración en cada split. Vale 12 y está congelado, determinado por M = 25 y la partición 12 + 13. No cambia con N_ensemble.</w:t>
      </w:r>
    </w:p>
    <w:p>
      <w:pPr>
        <w:spacing w:after="120"/>
        <w:jc w:val="both"/>
      </w:pPr>
      <w:r>
        <w:rPr>
          <w:rFonts w:ascii="Arial" w:cs="Arial" w:eastAsia="Arial" w:hAnsi="Arial"/>
          <w:b/>
          <w:bCs/>
          <w:i w:val="false"/>
          <w:iCs w:val="false"/>
          <w:sz w:val="22"/>
          <w:szCs w:val="22"/>
        </w:rPr>
        <w:t xml:space="preserve">Predicción registrada: </w:t>
      </w:r>
      <w:r>
        <w:rPr>
          <w:rFonts w:ascii="Arial" w:cs="Arial" w:eastAsia="Arial" w:hAnsi="Arial"/>
          <w:b w:val="false"/>
          <w:bCs w:val="false"/>
          <w:i w:val="false"/>
          <w:iCs w:val="false"/>
          <w:sz w:val="22"/>
          <w:szCs w:val="22"/>
        </w:rPr>
        <w:t xml:space="preserve">los niveles 0,90 y 0,95 arrojarán coberturas empíricas idénticas también en los stages de N = 100 y N = 200. Si al consolidar v7.7-a se observara lo contrario, habría un problema distinto que investigar, y esta nota quedaría refutada en su análisis.</w:t>
      </w:r>
    </w:p>
    <w:p>
      <w:pPr>
        <w:spacing w:after="120"/>
        <w:jc w:val="both"/>
      </w:pPr>
      <w:r>
        <w:rPr>
          <w:rFonts w:ascii="Arial" w:cs="Arial" w:eastAsia="Arial" w:hAnsi="Arial"/>
          <w:b/>
          <w:bCs/>
          <w:i w:val="false"/>
          <w:iCs w:val="false"/>
          <w:sz w:val="22"/>
          <w:szCs w:val="22"/>
        </w:rPr>
        <w:t xml:space="preserve">Cierre al consolidar v7.7-a (revisión 4): la predicción se verificó en su totalidad. </w:t>
      </w:r>
      <w:r>
        <w:rPr>
          <w:rFonts w:ascii="Arial" w:cs="Arial" w:eastAsia="Arial" w:hAnsi="Arial"/>
          <w:b w:val="false"/>
          <w:bCs w:val="false"/>
          <w:i w:val="false"/>
          <w:iCs w:val="false"/>
          <w:sz w:val="22"/>
          <w:szCs w:val="22"/>
        </w:rPr>
        <w:t xml:space="preserve">Cov(0,90) y Cov(0,95) resultaron idénticas en los tres stages: 92,06 % (N = 50), 92,65 % (N = 100) y 92,77 % (N = 200), con N_ensemble cuadruplicado entre el primero y el último. El colapso persistió exactamente como esta nota lo registró antes de correr los stages 2 y 3. La predicción central queda cerrada 3 de 3.</w:t>
      </w:r>
    </w:p>
    <w:p>
      <w:pPr>
        <w:pStyle w:val="Heading2"/>
        <w:spacing w:after="120" w:before="240"/>
      </w:pPr>
      <w:r>
        <w:rPr>
          <w:rFonts w:ascii="Arial" w:cs="Arial" w:eastAsia="Arial" w:hAnsi="Arial"/>
          <w:b/>
          <w:bCs/>
          <w:sz w:val="26"/>
          <w:szCs w:val="26"/>
        </w:rPr>
        <w:t xml:space="preserve">4.2 Qué sí lo resolvería</w:t>
      </w:r>
    </w:p>
    <w:p>
      <w:pPr>
        <w:spacing w:after="120"/>
        <w:jc w:val="both"/>
      </w:pPr>
      <w:r>
        <w:rPr>
          <w:rFonts w:ascii="Arial" w:cs="Arial" w:eastAsia="Arial" w:hAnsi="Arial"/>
          <w:b w:val="false"/>
          <w:bCs w:val="false"/>
          <w:i w:val="false"/>
          <w:iCs w:val="false"/>
          <w:sz w:val="22"/>
          <w:szCs w:val="22"/>
        </w:rPr>
        <w:t xml:space="preserve">Para que el nivel 0,95 sea alcanzable se requiere que el índice no quede acotado, es decir:</w:t>
      </w:r>
    </w:p>
    <w:p>
      <w:pPr>
        <w:spacing w:after="160" w:before="160"/>
        <w:jc w:val="center"/>
      </w:pPr>
      <w:r>
        <w:rPr>
          <w:rFonts w:ascii="Courier New" w:cs="Courier New" w:eastAsia="Courier New" w:hAnsi="Courier New"/>
          <w:sz w:val="24"/>
          <w:szCs w:val="24"/>
        </w:rPr>
        <w:t xml:space="preserve">ceil((n + 1) · 0,95) ≤ n   ⟺   n ≥ 19</w:t>
      </w:r>
    </w:p>
    <w:p>
      <w:pPr>
        <w:spacing w:after="120"/>
        <w:jc w:val="both"/>
      </w:pPr>
      <w:r>
        <w:rPr>
          <w:rFonts w:ascii="Arial" w:cs="Arial" w:eastAsia="Arial" w:hAnsi="Arial"/>
          <w:b/>
          <w:bCs/>
          <w:i w:val="false"/>
          <w:iCs w:val="false"/>
          <w:sz w:val="22"/>
          <w:szCs w:val="22"/>
        </w:rPr>
        <w:t xml:space="preserve">Se necesitan al menos 19 puntos de calibración. </w:t>
      </w:r>
      <w:r>
        <w:rPr>
          <w:rFonts w:ascii="Arial" w:cs="Arial" w:eastAsia="Arial" w:hAnsi="Arial"/>
          <w:b w:val="false"/>
          <w:bCs w:val="false"/>
          <w:i w:val="false"/>
          <w:iCs w:val="false"/>
          <w:sz w:val="22"/>
          <w:szCs w:val="22"/>
        </w:rPr>
        <w:t xml:space="preserve">Sin embargo, aumentar M no basta por sí solo. La implementación calcula n_calib = min(N_GT_CALIB, n_gt/2) con división entera, donde N_GT_CALIB = 12 es una constante congelada independiente de M; con M = 25 el mínimo y la mitad coinciden, lo que hace fácil confundir la regla con una partición por mitades. Con M = 50, el código actual seguiría usando n_calib = min(12, 25) = 12 y el colapso persistiría intacto. Alcanzar n_calib ≥ 19 exige por tanto dos cambios simultáneos: M ≈ 40 o más ground truths por configuración (frente a los 25 actuales) y la redefinición de N_GT_CALIB, por ejemplo como la mitad entera de M.</w:t>
      </w:r>
    </w:p>
    <w:p>
      <w:pPr>
        <w:spacing w:after="120"/>
        <w:jc w:val="both"/>
      </w:pPr>
      <w:r>
        <w:rPr>
          <w:rFonts w:ascii="Arial" w:cs="Arial" w:eastAsia="Arial" w:hAnsi="Arial"/>
          <w:b w:val="false"/>
          <w:bCs w:val="false"/>
          <w:i w:val="false"/>
          <w:iCs w:val="false"/>
          <w:sz w:val="22"/>
          <w:szCs w:val="22"/>
        </w:rPr>
        <w:t xml:space="preserve">El costo computacional de ese cambio es directo: 15 integraciones adicionales por configuración, es decir un incremento cercano al 60 % en la porción de ground truths del cómputo. Dado el perfil de tiempos observado en el stage 1, no es un cambio menor y no debe adoptarse sin un experimento que lo justifique.</w:t>
      </w:r>
    </w:p>
    <w:p>
      <w:r>
        <w:br w:type="page"/>
      </w:r>
    </w:p>
    <w:p>
      <w:pPr>
        <w:pStyle w:val="Heading1"/>
        <w:spacing w:after="180" w:before="360"/>
      </w:pPr>
      <w:r>
        <w:rPr>
          <w:rFonts w:ascii="Arial" w:cs="Arial" w:eastAsia="Arial" w:hAnsi="Arial"/>
          <w:b/>
          <w:bCs/>
          <w:sz w:val="32"/>
          <w:szCs w:val="32"/>
        </w:rPr>
        <w:t xml:space="preserve">5. Decisión Adoptada</w:t>
      </w:r>
    </w:p>
    <w:p>
      <w:pPr>
        <w:pStyle w:val="Heading2"/>
        <w:spacing w:after="120" w:before="240"/>
      </w:pPr>
      <w:r>
        <w:rPr>
          <w:rFonts w:ascii="Arial" w:cs="Arial" w:eastAsia="Arial" w:hAnsi="Arial"/>
          <w:b/>
          <w:bCs/>
          <w:sz w:val="26"/>
          <w:szCs w:val="26"/>
        </w:rPr>
        <w:t xml:space="preserve">5.1 Ninguna acción correctiva sobre v7.7-a</w:t>
      </w:r>
    </w:p>
    <w:p>
      <w:pPr>
        <w:spacing w:after="120"/>
        <w:jc w:val="both"/>
      </w:pPr>
      <w:r>
        <w:rPr>
          <w:rFonts w:ascii="Arial" w:cs="Arial" w:eastAsia="Arial" w:hAnsi="Arial"/>
          <w:b w:val="false"/>
          <w:bCs w:val="false"/>
          <w:i w:val="false"/>
          <w:iCs w:val="false"/>
          <w:sz w:val="22"/>
          <w:szCs w:val="22"/>
        </w:rPr>
        <w:t xml:space="preserve">Se decide no modificar nada del experimento v7.7-a en curso. Tres razones:</w:t>
      </w:r>
    </w:p>
    <w:p>
      <w:pPr>
        <w:pStyle w:val="ListParagraph"/>
        <w:numPr>
          <w:ilvl w:val="0"/>
          <w:numId w:val="2"/>
        </w:numPr>
        <w:spacing w:after="80"/>
      </w:pPr>
      <w:r>
        <w:rPr>
          <w:rFonts w:ascii="Arial" w:cs="Arial" w:eastAsia="Arial" w:hAnsi="Arial"/>
          <w:b/>
          <w:bCs/>
          <w:i w:val="false"/>
          <w:iCs w:val="false"/>
          <w:sz w:val="22"/>
          <w:szCs w:val="22"/>
        </w:rPr>
        <w:t xml:space="preserve">El método está congelado por diseño. </w:t>
      </w:r>
      <w:r>
        <w:rPr>
          <w:rFonts w:ascii="Arial" w:cs="Arial" w:eastAsia="Arial" w:hAnsi="Arial"/>
          <w:b w:val="false"/>
          <w:bCs w:val="false"/>
          <w:i w:val="false"/>
          <w:iCs w:val="false"/>
          <w:sz w:val="22"/>
          <w:szCs w:val="22"/>
        </w:rPr>
        <w:t xml:space="preserve">La regla crítica de v7.7-a es que la única variable del experimento sea N_ensemble. Alterar M a mitad de camino introduciría una segunda variable y haría imposible atribuir cualquier diferencia observada entre stages al escalamiento del ensemble, que es la pregunta que el experimento formula.</w:t>
      </w:r>
    </w:p>
    <w:p>
      <w:pPr>
        <w:pStyle w:val="ListParagraph"/>
        <w:numPr>
          <w:ilvl w:val="0"/>
          <w:numId w:val="2"/>
        </w:numPr>
        <w:spacing w:after="80"/>
      </w:pPr>
      <w:r>
        <w:rPr>
          <w:rFonts w:ascii="Arial" w:cs="Arial" w:eastAsia="Arial" w:hAnsi="Arial"/>
          <w:b/>
          <w:bCs/>
          <w:i w:val="false"/>
          <w:iCs w:val="false"/>
          <w:sz w:val="22"/>
          <w:szCs w:val="22"/>
        </w:rPr>
        <w:t xml:space="preserve">Se perdería la comparabilidad histórica. </w:t>
      </w:r>
      <w:r>
        <w:rPr>
          <w:rFonts w:ascii="Arial" w:cs="Arial" w:eastAsia="Arial" w:hAnsi="Arial"/>
          <w:b w:val="false"/>
          <w:bCs w:val="false"/>
          <w:i w:val="false"/>
          <w:iCs w:val="false"/>
          <w:sz w:val="22"/>
          <w:szCs w:val="22"/>
        </w:rPr>
        <w:t xml:space="preserve">Toda la escalera empírica del programa —de v7.5-b a v7.6-c— está construida sobre M = 25. Un v7.7-a con M = 40 no sería comparable con ninguno de esos resultados, y el valor principal de v7.7-a es precisamente medir escalamiento contra un baseline conocido.</w:t>
      </w:r>
    </w:p>
    <w:p>
      <w:pPr>
        <w:pStyle w:val="ListParagraph"/>
        <w:numPr>
          <w:ilvl w:val="0"/>
          <w:numId w:val="2"/>
        </w:numPr>
        <w:spacing w:after="80"/>
      </w:pPr>
      <w:r>
        <w:rPr>
          <w:rFonts w:ascii="Arial" w:cs="Arial" w:eastAsia="Arial" w:hAnsi="Arial"/>
          <w:b/>
          <w:bCs/>
          <w:i w:val="false"/>
          <w:iCs w:val="false"/>
          <w:sz w:val="22"/>
          <w:szCs w:val="22"/>
        </w:rPr>
        <w:t xml:space="preserve">El stage 1 ya está corrido. </w:t>
      </w:r>
      <w:r>
        <w:rPr>
          <w:rFonts w:ascii="Arial" w:cs="Arial" w:eastAsia="Arial" w:hAnsi="Arial"/>
          <w:b w:val="false"/>
          <w:bCs w:val="false"/>
          <w:i w:val="false"/>
          <w:iCs w:val="false"/>
          <w:sz w:val="22"/>
          <w:szCs w:val="22"/>
        </w:rPr>
        <w:t xml:space="preserve">Cambiar la configuración obligaría a repetirlo, con el costo de cómputo que ello implica y sin ganancia para la pregunta que el experimento responde.</w:t>
      </w:r>
    </w:p>
    <w:p>
      <w:pPr>
        <w:pStyle w:val="Heading2"/>
        <w:spacing w:after="120" w:before="240"/>
      </w:pPr>
      <w:r>
        <w:rPr>
          <w:rFonts w:ascii="Arial" w:cs="Arial" w:eastAsia="Arial" w:hAnsi="Arial"/>
          <w:b/>
          <w:bCs/>
          <w:sz w:val="26"/>
          <w:szCs w:val="26"/>
        </w:rPr>
        <w:t xml:space="preserve">5.2 Documentación como limitación conocida</w:t>
      </w:r>
    </w:p>
    <w:p>
      <w:pPr>
        <w:spacing w:after="120"/>
        <w:jc w:val="both"/>
      </w:pPr>
      <w:r>
        <w:rPr>
          <w:rFonts w:ascii="Arial" w:cs="Arial" w:eastAsia="Arial" w:hAnsi="Arial"/>
          <w:b w:val="false"/>
          <w:bCs w:val="false"/>
          <w:i w:val="false"/>
          <w:iCs w:val="false"/>
          <w:sz w:val="22"/>
          <w:szCs w:val="22"/>
        </w:rPr>
        <w:t xml:space="preserve">Se adopta la siguiente formulación para el reporte de cierre de v7.7-a y para cualquier presentación formal del programa:</w:t>
      </w:r>
    </w:p>
    <w:p>
      <w:pPr>
        <w:spacing w:after="120" w:before="120"/>
        <w:ind w:left="720" w:right="720"/>
      </w:pPr>
      <w:r>
        <w:rPr>
          <w:rFonts w:ascii="Arial" w:cs="Arial" w:eastAsia="Arial" w:hAnsi="Arial"/>
          <w:i/>
          <w:iCs/>
          <w:sz w:val="22"/>
          <w:szCs w:val="22"/>
        </w:rPr>
        <w:t xml:space="preserve">En el brazo principal, con M = 25 ground truths y partición conformal 12 + 13, el conjunto de calibración de 12 puntos opera con un valor esperado máximo de cobertura de 12/13 = 92,31 %. En consecuencia, los niveles nominales 0,90 y 0,95 comparten el mismo estadístico de orden y producen umbrales idénticos, y el nivel 0,95 no es alcanzable en esperanza por construcción. Las métricas reportadas en ese nivel deben leerse como distancia al valor esperado estructural, no como error de calibración. El brazo de control, que calibra contra los N miembros del ensemble, no presenta este colapso. Los veredictos del programa se sostienen sobre los niveles bajos e intermedios, donde ninguno de los dos brazos satura.</w:t>
      </w:r>
    </w:p>
    <w:p>
      <w:pPr>
        <w:pStyle w:val="Heading2"/>
        <w:spacing w:after="120" w:before="240"/>
      </w:pPr>
      <w:r>
        <w:rPr>
          <w:rFonts w:ascii="Arial" w:cs="Arial" w:eastAsia="Arial" w:hAnsi="Arial"/>
          <w:b/>
          <w:bCs/>
          <w:sz w:val="26"/>
          <w:szCs w:val="26"/>
        </w:rPr>
        <w:t xml:space="preserve">5.3 Traspaso a v7.7-b</w:t>
      </w:r>
    </w:p>
    <w:p>
      <w:pPr>
        <w:spacing w:after="120"/>
        <w:jc w:val="both"/>
      </w:pPr>
      <w:r>
        <w:rPr>
          <w:rFonts w:ascii="Arial" w:cs="Arial" w:eastAsia="Arial" w:hAnsi="Arial"/>
          <w:b w:val="false"/>
          <w:bCs w:val="false"/>
          <w:i w:val="false"/>
          <w:iCs w:val="false"/>
          <w:sz w:val="22"/>
          <w:szCs w:val="22"/>
        </w:rPr>
        <w:t xml:space="preserve">La etapa v7.7-b del ciclo de caracterización ya contempla, según la hoja de ruta de v7.7-a, un barrido del parámetro M sobre los valores {25, 50}. Esta nota agrega a ese barrido una hipótesis prerregistrable explícita:</w:t>
      </w:r>
    </w:p>
    <w:p>
      <w:pPr>
        <w:spacing w:after="120" w:before="120"/>
        <w:ind w:left="720" w:right="720"/>
      </w:pPr>
      <w:r>
        <w:rPr>
          <w:rFonts w:ascii="Arial" w:cs="Arial" w:eastAsia="Arial" w:hAnsi="Arial"/>
          <w:i/>
          <w:iCs/>
          <w:sz w:val="22"/>
          <w:szCs w:val="22"/>
        </w:rPr>
        <w:t xml:space="preserve">Con M = 50 y el conjunto de calibración redefinido como la mitad entera de M (n_calib = 25), los niveles nominales 0,90 y 0,95 deben producir umbrales distintos —índices 23 y 24 respectivamente— y coberturas empíricas separadas. El valor esperado máximo de cobertura asciende a 25/26 = 96,15 %, de modo que el nivel 0,95 pasa a ser alcanzable. Esta hipótesis presupone que v7.7-b redefina la constante N_GT_CALIB junto con M: con el código actual, que fija n_calib = min(12, n_gt/2), subir M a 50 mantendría n_calib = 12 y el colapso persistiría como artefacto de implementación, no como resultado. La verificación de esta separación, bajo la redefinición indicada, es condición necesaria para que el barrido de M se considere informativo.</w:t>
      </w:r>
    </w:p>
    <w:p>
      <w:pPr>
        <w:spacing w:after="120"/>
        <w:jc w:val="both"/>
      </w:pPr>
      <w:r>
        <w:rPr>
          <w:rFonts w:ascii="Arial" w:cs="Arial" w:eastAsia="Arial" w:hAnsi="Arial"/>
          <w:b/>
          <w:bCs/>
          <w:i w:val="false"/>
          <w:iCs w:val="false"/>
          <w:sz w:val="22"/>
          <w:szCs w:val="22"/>
        </w:rPr>
        <w:t xml:space="preserve">Esto convierte un hallazgo incidental en una predicción falsable formulada antes de correr el experimento, </w:t>
      </w:r>
      <w:r>
        <w:rPr>
          <w:rFonts w:ascii="Arial" w:cs="Arial" w:eastAsia="Arial" w:hAnsi="Arial"/>
          <w:b w:val="false"/>
          <w:bCs w:val="false"/>
          <w:i w:val="false"/>
          <w:iCs w:val="false"/>
          <w:sz w:val="22"/>
          <w:szCs w:val="22"/>
        </w:rPr>
        <w:t xml:space="preserve">que es el estándar que el programa viene aplicando desde v7.5-b. Se recomienda incorporar el texto anterior como criterio instrumental de la hoja de ruta de v7.7-b cuando ésta se redacte.</w:t>
      </w:r>
    </w:p>
    <w:p>
      <w:r>
        <w:br w:type="page"/>
      </w:r>
    </w:p>
    <w:p>
      <w:pPr>
        <w:pStyle w:val="Heading1"/>
        <w:spacing w:after="180" w:before="360"/>
      </w:pPr>
      <w:r>
        <w:rPr>
          <w:rFonts w:ascii="Arial" w:cs="Arial" w:eastAsia="Arial" w:hAnsi="Arial"/>
          <w:b/>
          <w:bCs/>
          <w:sz w:val="32"/>
          <w:szCs w:val="32"/>
        </w:rPr>
        <w:t xml:space="preserve">6. Cierre</w:t>
      </w:r>
    </w:p>
    <w:p>
      <w:pPr>
        <w:pStyle w:val="Heading2"/>
        <w:spacing w:after="120" w:before="240"/>
      </w:pPr>
      <w:r>
        <w:rPr>
          <w:rFonts w:ascii="Arial" w:cs="Arial" w:eastAsia="Arial" w:hAnsi="Arial"/>
          <w:b/>
          <w:bCs/>
          <w:sz w:val="26"/>
          <w:szCs w:val="26"/>
        </w:rPr>
        <w:t xml:space="preserve">6.1 Resumen ejecutivo</w:t>
      </w:r>
    </w:p>
    <w:p>
      <w:pPr>
        <w:pStyle w:val="ListParagraph"/>
        <w:numPr>
          <w:ilvl w:val="0"/>
          <w:numId w:val="2"/>
        </w:numPr>
        <w:spacing w:after="80"/>
      </w:pPr>
      <w:r>
        <w:rPr>
          <w:rFonts w:ascii="Arial" w:cs="Arial" w:eastAsia="Arial" w:hAnsi="Arial"/>
          <w:b/>
          <w:bCs/>
          <w:i w:val="false"/>
          <w:iCs w:val="false"/>
          <w:sz w:val="22"/>
          <w:szCs w:val="22"/>
        </w:rPr>
        <w:t xml:space="preserve">Hallazgo: </w:t>
      </w:r>
      <w:r>
        <w:rPr>
          <w:rFonts w:ascii="Arial" w:cs="Arial" w:eastAsia="Arial" w:hAnsi="Arial"/>
          <w:b w:val="false"/>
          <w:bCs w:val="false"/>
          <w:i w:val="false"/>
          <w:iCs w:val="false"/>
          <w:sz w:val="22"/>
          <w:szCs w:val="22"/>
        </w:rPr>
        <w:t xml:space="preserve">en el brazo principal, los niveles nominales 0,90 y 0,95 comparten umbral conformal en todas las versiones del programa que usan M = 25.</w:t>
      </w:r>
    </w:p>
    <w:p>
      <w:pPr>
        <w:pStyle w:val="ListParagraph"/>
        <w:numPr>
          <w:ilvl w:val="0"/>
          <w:numId w:val="2"/>
        </w:numPr>
        <w:spacing w:after="80"/>
      </w:pPr>
      <w:r>
        <w:rPr>
          <w:rFonts w:ascii="Arial" w:cs="Arial" w:eastAsia="Arial" w:hAnsi="Arial"/>
          <w:b/>
          <w:bCs/>
          <w:i w:val="false"/>
          <w:iCs w:val="false"/>
          <w:sz w:val="22"/>
          <w:szCs w:val="22"/>
        </w:rPr>
        <w:t xml:space="preserve">Causa: </w:t>
      </w:r>
      <w:r>
        <w:rPr>
          <w:rFonts w:ascii="Arial" w:cs="Arial" w:eastAsia="Arial" w:hAnsi="Arial"/>
          <w:b w:val="false"/>
          <w:bCs w:val="false"/>
          <w:i w:val="false"/>
          <w:iCs w:val="false"/>
          <w:sz w:val="22"/>
          <w:szCs w:val="22"/>
        </w:rPr>
        <w:t xml:space="preserve">con n_calib = 12, el índice del estadístico de orden es 11 para ambos niveles, tras acotar el de 0,95 desde 12.</w:t>
      </w:r>
    </w:p>
    <w:p>
      <w:pPr>
        <w:pStyle w:val="ListParagraph"/>
        <w:numPr>
          <w:ilvl w:val="0"/>
          <w:numId w:val="2"/>
        </w:numPr>
        <w:spacing w:after="80"/>
      </w:pPr>
      <w:r>
        <w:rPr>
          <w:rFonts w:ascii="Arial" w:cs="Arial" w:eastAsia="Arial" w:hAnsi="Arial"/>
          <w:b/>
          <w:bCs/>
          <w:i w:val="false"/>
          <w:iCs w:val="false"/>
          <w:sz w:val="22"/>
          <w:szCs w:val="22"/>
        </w:rPr>
        <w:t xml:space="preserve">Asimetría entre brazos: </w:t>
      </w:r>
      <w:r>
        <w:rPr>
          <w:rFonts w:ascii="Arial" w:cs="Arial" w:eastAsia="Arial" w:hAnsi="Arial"/>
          <w:b w:val="false"/>
          <w:bCs w:val="false"/>
          <w:i w:val="false"/>
          <w:iCs w:val="false"/>
          <w:sz w:val="22"/>
          <w:szCs w:val="22"/>
        </w:rPr>
        <w:t xml:space="preserve">el control calibra contra los N miembros del ensemble, de modo que sus índices sí se separan (45/48 a N = 50) y su resolución mejora con N. El colapso no lo afecta, y su función de replicar el fallo de v7.5-a en niveles bajos e intermedios permanece intacta. Al cierre, la separación se verificó en los tres N y la brecha del control se ensanchó: 0,62 → 0,73 → 0,86 pp.</w:t>
      </w:r>
    </w:p>
    <w:p>
      <w:pPr>
        <w:pStyle w:val="ListParagraph"/>
        <w:numPr>
          <w:ilvl w:val="0"/>
          <w:numId w:val="2"/>
        </w:numPr>
        <w:spacing w:after="80"/>
      </w:pPr>
      <w:r>
        <w:rPr>
          <w:rFonts w:ascii="Arial" w:cs="Arial" w:eastAsia="Arial" w:hAnsi="Arial"/>
          <w:b/>
          <w:bCs/>
          <w:i w:val="false"/>
          <w:iCs w:val="false"/>
          <w:sz w:val="22"/>
          <w:szCs w:val="22"/>
        </w:rPr>
        <w:t xml:space="preserve">Valor esperado estructural: </w:t>
      </w:r>
      <w:r>
        <w:rPr>
          <w:rFonts w:ascii="Arial" w:cs="Arial" w:eastAsia="Arial" w:hAnsi="Arial"/>
          <w:b w:val="false"/>
          <w:bCs w:val="false"/>
          <w:i w:val="false"/>
          <w:iCs w:val="false"/>
          <w:sz w:val="22"/>
          <w:szCs w:val="22"/>
        </w:rPr>
        <w:t xml:space="preserve">12/13 = 92,31 %. El nivel 0,95 es inalcanzable en esperanza. Coberturas observadas al cierre: 92,06 / 92,65 / 92,77 % (N = 50/100/200), fluctuando alrededor del valor esperado — dos realizaciones por encima, lo que descarta la lectura de techo duro.</w:t>
      </w:r>
    </w:p>
    <w:p>
      <w:pPr>
        <w:pStyle w:val="ListParagraph"/>
        <w:numPr>
          <w:ilvl w:val="0"/>
          <w:numId w:val="2"/>
        </w:numPr>
        <w:spacing w:after="80"/>
      </w:pPr>
      <w:r>
        <w:rPr>
          <w:rFonts w:ascii="Arial" w:cs="Arial" w:eastAsia="Arial" w:hAnsi="Arial"/>
          <w:b/>
          <w:bCs/>
          <w:i w:val="false"/>
          <w:iCs w:val="false"/>
          <w:sz w:val="22"/>
          <w:szCs w:val="22"/>
        </w:rPr>
        <w:t xml:space="preserve">Alcance: </w:t>
      </w:r>
      <w:r>
        <w:rPr>
          <w:rFonts w:ascii="Arial" w:cs="Arial" w:eastAsia="Arial" w:hAnsi="Arial"/>
          <w:b w:val="false"/>
          <w:bCs w:val="false"/>
          <w:i w:val="false"/>
          <w:iCs w:val="false"/>
          <w:sz w:val="22"/>
          <w:szCs w:val="22"/>
        </w:rPr>
        <w:t xml:space="preserve">retroactivo a v7.5-b, v7.6-a, v7.6-b y v7.6-c. Ningún veredicto cambia; cambia la interpretación del nivel superior.</w:t>
      </w:r>
    </w:p>
    <w:p>
      <w:pPr>
        <w:pStyle w:val="ListParagraph"/>
        <w:numPr>
          <w:ilvl w:val="0"/>
          <w:numId w:val="2"/>
        </w:numPr>
        <w:spacing w:after="80"/>
      </w:pPr>
      <w:r>
        <w:rPr>
          <w:rFonts w:ascii="Arial" w:cs="Arial" w:eastAsia="Arial" w:hAnsi="Arial"/>
          <w:b/>
          <w:bCs/>
          <w:i w:val="false"/>
          <w:iCs w:val="false"/>
          <w:sz w:val="22"/>
          <w:szCs w:val="22"/>
        </w:rPr>
        <w:t xml:space="preserve">No se resuelve escalando N_ensemble: </w:t>
      </w:r>
      <w:r>
        <w:rPr>
          <w:rFonts w:ascii="Arial" w:cs="Arial" w:eastAsia="Arial" w:hAnsi="Arial"/>
          <w:b w:val="false"/>
          <w:bCs w:val="false"/>
          <w:i w:val="false"/>
          <w:iCs w:val="false"/>
          <w:sz w:val="22"/>
          <w:szCs w:val="22"/>
        </w:rPr>
        <w:t xml:space="preserve">n_calib es independiente de N. Predicción registrada antes de los stages 2 y 3, y verificada 3/3 al cierre: el colapso persistió con coberturas idénticas en los tres N.</w:t>
      </w:r>
    </w:p>
    <w:p>
      <w:pPr>
        <w:pStyle w:val="ListParagraph"/>
        <w:numPr>
          <w:ilvl w:val="0"/>
          <w:numId w:val="2"/>
        </w:numPr>
        <w:spacing w:after="80"/>
      </w:pPr>
      <w:r>
        <w:rPr>
          <w:rFonts w:ascii="Arial" w:cs="Arial" w:eastAsia="Arial" w:hAnsi="Arial"/>
          <w:b/>
          <w:bCs/>
          <w:i w:val="false"/>
          <w:iCs w:val="false"/>
          <w:sz w:val="22"/>
          <w:szCs w:val="22"/>
        </w:rPr>
        <w:t xml:space="preserve">Decisión: </w:t>
      </w:r>
      <w:r>
        <w:rPr>
          <w:rFonts w:ascii="Arial" w:cs="Arial" w:eastAsia="Arial" w:hAnsi="Arial"/>
          <w:b w:val="false"/>
          <w:bCs w:val="false"/>
          <w:i w:val="false"/>
          <w:iCs w:val="false"/>
          <w:sz w:val="22"/>
          <w:szCs w:val="22"/>
        </w:rPr>
        <w:t xml:space="preserve">sin acción correctiva en v7.7-a. Documentado como limitación conocida. Traspasado a v7.7-b como hipótesis prerregistrable sobre el barrido de M.</w:t>
      </w:r>
    </w:p>
    <w:p>
      <w:pPr>
        <w:pStyle w:val="Heading2"/>
        <w:spacing w:after="120" w:before="240"/>
      </w:pPr>
      <w:r>
        <w:rPr>
          <w:rFonts w:ascii="Arial" w:cs="Arial" w:eastAsia="Arial" w:hAnsi="Arial"/>
          <w:b/>
          <w:bCs/>
          <w:sz w:val="26"/>
          <w:szCs w:val="26"/>
        </w:rPr>
        <w:t xml:space="preserve">6.2 Nota metodológica</w:t>
      </w:r>
    </w:p>
    <w:p>
      <w:pPr>
        <w:spacing w:after="120"/>
        <w:jc w:val="both"/>
      </w:pPr>
      <w:r>
        <w:rPr>
          <w:rFonts w:ascii="Arial" w:cs="Arial" w:eastAsia="Arial" w:hAnsi="Arial"/>
          <w:b/>
          <w:bCs/>
          <w:i w:val="false"/>
          <w:iCs w:val="false"/>
          <w:sz w:val="22"/>
          <w:szCs w:val="22"/>
        </w:rPr>
        <w:t xml:space="preserve">Este hallazgo no debilita el programa; lo precisa. </w:t>
      </w:r>
      <w:r>
        <w:rPr>
          <w:rFonts w:ascii="Arial" w:cs="Arial" w:eastAsia="Arial" w:hAnsi="Arial"/>
          <w:b w:val="false"/>
          <w:bCs w:val="false"/>
          <w:i w:val="false"/>
          <w:iCs w:val="false"/>
          <w:sz w:val="22"/>
          <w:szCs w:val="22"/>
        </w:rPr>
        <w:t xml:space="preserve">Un método que reporta cinco niveles cuando entrega cuatro es un método cuya documentación necesita corrección, no un método que haya fallado. La distinción importa: los criterios que sostienen la escalera empírica del programa —calibración en niveles bajos e intermedios, estabilidad entre splits, replicación consistente del control negativo— no dependen del nivel saturado.</w:t>
      </w:r>
    </w:p>
    <w:p>
      <w:pPr>
        <w:spacing w:after="120"/>
        <w:jc w:val="both"/>
      </w:pPr>
      <w:r>
        <w:rPr>
          <w:rFonts w:ascii="Arial" w:cs="Arial" w:eastAsia="Arial" w:hAnsi="Arial"/>
          <w:b/>
          <w:bCs/>
          <w:i w:val="false"/>
          <w:iCs w:val="false"/>
          <w:sz w:val="22"/>
          <w:szCs w:val="22"/>
        </w:rPr>
        <w:t xml:space="preserve">El valor de haberlo detectado ahora es de oportunidad. </w:t>
      </w:r>
      <w:r>
        <w:rPr>
          <w:rFonts w:ascii="Arial" w:cs="Arial" w:eastAsia="Arial" w:hAnsi="Arial"/>
          <w:b w:val="false"/>
          <w:bCs w:val="false"/>
          <w:i w:val="false"/>
          <w:iCs w:val="false"/>
          <w:sz w:val="22"/>
          <w:szCs w:val="22"/>
        </w:rPr>
        <w:t xml:space="preserve">Aparece en la primera revisión de datos crudos de la etapa de caracterización, antes de que el programa lo arrastre a v7.7-b y v7.7-c, y con margen para convertirlo en una hipótesis prerregistrada en lugar de una corrección post hoc.</w:t>
      </w:r>
    </w:p>
    <w:p>
      <w:pPr>
        <w:pStyle w:val="Heading2"/>
        <w:spacing w:after="120" w:before="240"/>
      </w:pPr>
      <w:r>
        <w:rPr>
          <w:rFonts w:ascii="Arial" w:cs="Arial" w:eastAsia="Arial" w:hAnsi="Arial"/>
          <w:b/>
          <w:bCs/>
          <w:sz w:val="26"/>
          <w:szCs w:val="26"/>
        </w:rPr>
        <w:t xml:space="preserve">6.3 Frase de cierre</w:t>
      </w:r>
    </w:p>
    <w:p>
      <w:pPr>
        <w:spacing w:after="120" w:before="120"/>
        <w:ind w:left="720" w:right="720"/>
      </w:pPr>
      <w:r>
        <w:rPr>
          <w:rFonts w:ascii="Arial" w:cs="Arial" w:eastAsia="Arial" w:hAnsi="Arial"/>
          <w:i/>
          <w:iCs/>
          <w:sz w:val="22"/>
          <w:szCs w:val="22"/>
        </w:rPr>
        <w:t xml:space="preserve">En el brazo sobre el que recaen los veredictos, la grilla de niveles del programa MTPS-C promete cinco puntos de resolución y entrega cuatro. La causa es aritmética, conocida, acotada al brazo principal, y no afecta ningún veredicto emitido. Queda documentada aquí con su alcance completo —incluida la asimetría respecto del brazo de control— y traspasada a v7.7-b como hipótesis falsable sobre el barrido de M. Un programa que caracteriza su propio instrumento tiene que caracterizar también los límites de su instrumentación.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Nota Técnica NT-01 - MTPS-C</dc:title>
  <dc:creator>Joaquín Peñafiel</dc:creator>
  <dc:description>Colapso de los niveles nominales 0,90 y 0,95 al mismo umbral conformal</dc:description>
  <cp:lastModifiedBy>Un-named</cp:lastModifiedBy>
  <cp:revision>1</cp:revision>
  <dcterms:created xsi:type="dcterms:W3CDTF">2026-08-03T22:55:29.050Z</dcterms:created>
  <dcterms:modified xsi:type="dcterms:W3CDTF">2026-08-03T22:55:29.070Z</dcterms:modified>
</cp:coreProperties>
</file>

<file path=docProps/custom.xml><?xml version="1.0" encoding="utf-8"?>
<Properties xmlns="http://schemas.openxmlformats.org/officeDocument/2006/custom-properties" xmlns:vt="http://schemas.openxmlformats.org/officeDocument/2006/docPropsVTypes"/>
</file>