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4"/>
          <w:szCs w:val="34"/>
        </w:rPr>
        <w:t xml:space="preserve">Hoja de Ruta MTPS-C v7.7-b</w:t>
      </w:r>
    </w:p>
    <w:p>
      <w:pPr>
        <w:spacing w:after="160"/>
        <w:jc w:val="center"/>
      </w:pPr>
      <w:r>
        <w:rPr>
          <w:i/>
          <w:iCs/>
          <w:sz w:val="24"/>
          <w:szCs w:val="24"/>
        </w:rPr>
        <w:t xml:space="preserve">Sensibilidad del Conjunto de Calibración — Barrido de M</w:t>
      </w:r>
    </w:p>
    <w:p>
      <w:pPr>
        <w:spacing w:after="160"/>
        <w:jc w:val="center"/>
      </w:pPr>
      <w:r>
        <w:rPr>
          <w:b/>
          <w:bCs/>
          <w:sz w:val="22"/>
          <w:szCs w:val="22"/>
        </w:rPr>
        <w:t xml:space="preserve">BORRADOR 8 PARA AUDITORÍA — NO CONGELADO</w:t>
      </w:r>
    </w:p>
    <w:p>
      <w:pPr>
        <w:spacing w:after="120"/>
      </w:pPr>
      <w:r>
        <w:t xml:space="preserve">Incorpora las enmiendas E1–E5 de la Nota de Auditoría NA-01 y las correcciones de las rondas segunda a séptima de auditoría. Respecto del Borrador 7, único cambio y aditivo: la puerta G13 en la § 3, que verifica la identidad del dataset al inicio de cada par (brazo, M), incorporada a las condiciones de S11.1 y S11.3. Todo lo demás — pregunta, diseño, dataset, criterios C11, escenario S11.2, análisis secundario y presupuesto — queda idéntico al Borrador 7, cuyas decisiones D1–D5 ya cuentan con fallo favorable. La revisión de esta versión puede acotarse al delta. Redacción de esta versión: auditor preventivo. Conforme a la regla de alternancia del programa, quien redacta una versión no la audita: la revisión de este borrador corresponde al segundo auditor y puede acotarse al delta. Pendientes para el congelamiento: esa revisión y el fallo final de Oaui sobre D1–D5. El congelamiento con acta breve es la única autorización de corrida.</w:t>
      </w:r>
    </w:p>
    <w:p>
      <w:pPr>
        <w:spacing w:after="60" w:before="120"/>
        <w:jc w:val="center"/>
      </w:pPr>
      <w:r>
        <w:rPr>
          <w:b/>
          <w:bCs/>
          <w:sz w:val="22"/>
          <w:szCs w:val="22"/>
        </w:rPr>
        <w:t xml:space="preserve">Joaquín Peñafiel</w:t>
      </w:r>
    </w:p>
    <w:p>
      <w:pPr>
        <w:spacing w:after="60"/>
        <w:jc w:val="center"/>
      </w:pPr>
      <w:r>
        <w:rPr>
          <w:sz w:val="20"/>
          <w:szCs w:val="20"/>
        </w:rPr>
        <w:t xml:space="preserve">Chile · 11 de agosto de 2026</w:t>
      </w:r>
    </w:p>
    <w:p>
      <w:pPr>
        <w:spacing w:after="200"/>
        <w:jc w:val="center"/>
      </w:pPr>
      <w:r>
        <w:rPr>
          <w:i/>
          <w:iCs/>
          <w:sz w:val="19"/>
          <w:szCs w:val="19"/>
        </w:rPr>
        <w:t xml:space="preserve">Dependencias: Informe v7.7-a (S10.1) · NT-01 rev. 3 (§ 5.3) · NA-01 · tiempos_por_config.csv · table_long.csv</w:t>
      </w:r>
    </w:p>
    <w:p>
      <w:pPr>
        <w:pBdr>
          <w:bottom w:val="single" w:color="AAAAAA" w:sz="6"/>
        </w:pBdr>
        <w:spacing w:after="160"/>
      </w:pPr>
    </w:p>
    <w:p>
      <w:pPr>
        <w:pStyle w:val="Heading1"/>
        <w:spacing w:after="140" w:before="280"/>
      </w:pPr>
      <w:r>
        <w:t xml:space="preserve">1. Pregunta y Motivación</w:t>
      </w:r>
    </w:p>
    <w:p>
      <w:pPr>
        <w:spacing w:after="120"/>
      </w:pPr>
      <w:r>
        <w:rPr>
          <w:b/>
          <w:bCs/>
        </w:rPr>
        <w:t xml:space="preserve">Pregunta única: </w:t>
      </w:r>
      <w:r>
        <w:t xml:space="preserve">¿se habilita la grilla completa de cinco niveles aumentando el conjunto de calibración por configuración, con coberturas realizadas en sus valores esperados, sin degradar la calibración global y con regiones que sigan siendo informativas?</w:t>
      </w:r>
    </w:p>
    <w:p>
      <w:pPr>
        <w:spacing w:after="120"/>
      </w:pPr>
      <w:r>
        <w:t xml:space="preserve">Hereda de v7.7-a (S10.1: N no es la variable relevante) y de la NT-01 § 5.3 (el colapso 0,90/0,95 depende de n_calib = 12; su hipótesis prerregistrable exige redefinir N_GT_CALIB junto con M). La cláusula final de la pregunta — regiones informativas — incorpora la enmienda E1 de NA-01: cobertura sin agudeza no habilita un instrumento.</w:t>
      </w:r>
    </w:p>
    <w:p>
      <w:pPr>
        <w:pStyle w:val="Heading1"/>
        <w:spacing w:after="140" w:before="280"/>
      </w:pPr>
      <w:r>
        <w:t xml:space="preserve">2. Diseño</w:t>
      </w:r>
    </w:p>
    <w:p>
      <w:pPr>
        <w:pStyle w:val="Heading2"/>
        <w:spacing w:after="140" w:before="280"/>
      </w:pPr>
      <w:r>
        <w:t xml:space="preserve">2.1 Variable única y enmienda de método</w:t>
      </w:r>
    </w:p>
    <w:p>
      <w:pPr>
        <w:spacing w:after="120"/>
      </w:pPr>
      <w:r>
        <w:rPr>
          <w:b/>
          <w:bCs/>
        </w:rPr>
        <w:t xml:space="preserve">Variable única: M ∈ {25, 40, 50}. </w:t>
      </w:r>
      <w:r>
        <w:t xml:space="preserve">N = 50 fijo; k = 5 y ε congelados (k es experimento propio posterior; ε redefine la física del ground truth). Enmienda de método única y declarada: n_calib = piso(M/2) reemplaza a N_GT_CALIB = 12. Retrocompatible: M = 25 produce n_calib = 12, idéntico al método congelado, y por eso el brazo M = 25 es la puerta de regresión G11.</w:t>
      </w:r>
    </w:p>
    <w:p>
      <w:pPr>
        <w:pStyle w:val="Heading2"/>
        <w:spacing w:after="140" w:before="280"/>
      </w:pPr>
      <w:r>
        <w:t xml:space="preserve">2.2 Aritmética prerregistrada (verificada de forma independiente en NA-01 §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
        <w:gridCol w:w="780"/>
        <w:gridCol w:w="1900"/>
        <w:gridCol w:w="2600"/>
        <w:gridCol w:w="800"/>
        <w:gridCol w:w="2300"/>
      </w:tblGrid>
      <w:tr>
        <w:tc>
          <w:tcPr>
            <w:tcW w:type="dxa" w:w="620"/>
            <w:shd w:fill="E8E8E8" w:val="clear"/>
            <w:tcMar>
              <w:top w:type="dxa" w:w="60"/>
              <w:left w:type="dxa" w:w="100"/>
              <w:bottom w:type="dxa" w:w="60"/>
              <w:right w:type="dxa" w:w="100"/>
            </w:tcMar>
          </w:tcPr>
          <w:p>
            <w:pPr>
              <w:jc w:val="center"/>
            </w:pPr>
            <w:r>
              <w:rPr>
                <w:b/>
                <w:bCs/>
                <w:sz w:val="18"/>
                <w:szCs w:val="18"/>
              </w:rPr>
              <w:t xml:space="preserve">M</w:t>
            </w:r>
          </w:p>
        </w:tc>
        <w:tc>
          <w:tcPr>
            <w:tcW w:type="dxa" w:w="780"/>
            <w:shd w:fill="E8E8E8" w:val="clear"/>
            <w:tcMar>
              <w:top w:type="dxa" w:w="60"/>
              <w:left w:type="dxa" w:w="100"/>
              <w:bottom w:type="dxa" w:w="60"/>
              <w:right w:type="dxa" w:w="100"/>
            </w:tcMar>
          </w:tcPr>
          <w:p>
            <w:pPr>
              <w:jc w:val="center"/>
            </w:pPr>
            <w:r>
              <w:rPr>
                <w:b/>
                <w:bCs/>
                <w:sz w:val="18"/>
                <w:szCs w:val="18"/>
              </w:rPr>
              <w:t xml:space="preserve">n_calib</w:t>
            </w:r>
          </w:p>
        </w:tc>
        <w:tc>
          <w:tcPr>
            <w:tcW w:type="dxa" w:w="1900"/>
            <w:shd w:fill="E8E8E8" w:val="clear"/>
            <w:tcMar>
              <w:top w:type="dxa" w:w="60"/>
              <w:left w:type="dxa" w:w="100"/>
              <w:bottom w:type="dxa" w:w="60"/>
              <w:right w:type="dxa" w:w="100"/>
            </w:tcMar>
          </w:tcPr>
          <w:p>
            <w:pPr>
              <w:jc w:val="center"/>
            </w:pPr>
            <w:r>
              <w:rPr>
                <w:b/>
                <w:bCs/>
                <w:sz w:val="18"/>
                <w:szCs w:val="18"/>
              </w:rPr>
              <w:t xml:space="preserve">Índices</w:t>
            </w:r>
          </w:p>
        </w:tc>
        <w:tc>
          <w:tcPr>
            <w:tcW w:type="dxa" w:w="2600"/>
            <w:shd w:fill="E8E8E8" w:val="clear"/>
            <w:tcMar>
              <w:top w:type="dxa" w:w="60"/>
              <w:left w:type="dxa" w:w="100"/>
              <w:bottom w:type="dxa" w:w="60"/>
              <w:right w:type="dxa" w:w="100"/>
            </w:tcMar>
          </w:tcPr>
          <w:p>
            <w:pPr>
              <w:jc w:val="center"/>
            </w:pPr>
            <w:r>
              <w:rPr>
                <w:b/>
                <w:bCs/>
                <w:sz w:val="18"/>
                <w:szCs w:val="18"/>
              </w:rPr>
              <w:t xml:space="preserve">Cobertura esperada (%) 0,30/0,50/0,80/0,90/0,95</w:t>
            </w:r>
          </w:p>
        </w:tc>
        <w:tc>
          <w:tcPr>
            <w:tcW w:type="dxa" w:w="800"/>
            <w:shd w:fill="E8E8E8" w:val="clear"/>
            <w:tcMar>
              <w:top w:type="dxa" w:w="60"/>
              <w:left w:type="dxa" w:w="100"/>
              <w:bottom w:type="dxa" w:w="60"/>
              <w:right w:type="dxa" w:w="100"/>
            </w:tcMar>
          </w:tcPr>
          <w:p>
            <w:pPr>
              <w:jc w:val="center"/>
            </w:pPr>
            <w:r>
              <w:rPr>
                <w:b/>
                <w:bCs/>
                <w:sz w:val="18"/>
                <w:szCs w:val="18"/>
              </w:rPr>
              <w:t xml:space="preserve">GTs eval.</w:t>
            </w:r>
          </w:p>
        </w:tc>
        <w:tc>
          <w:tcPr>
            <w:tcW w:type="dxa" w:w="2300"/>
            <w:shd w:fill="E8E8E8" w:val="clear"/>
            <w:tcMar>
              <w:top w:type="dxa" w:w="60"/>
              <w:left w:type="dxa" w:w="100"/>
              <w:bottom w:type="dxa" w:w="60"/>
              <w:right w:type="dxa" w:w="100"/>
            </w:tcMar>
          </w:tcPr>
          <w:p>
            <w:pPr>
              <w:jc w:val="center"/>
            </w:pPr>
            <w:r>
              <w:rPr>
                <w:b/>
                <w:bCs/>
                <w:sz w:val="18"/>
                <w:szCs w:val="18"/>
              </w:rPr>
              <w:t xml:space="preserve">Rol</w:t>
            </w:r>
          </w:p>
        </w:tc>
      </w:tr>
      <w:tr>
        <w:tc>
          <w:tcPr>
            <w:tcW w:type="dxa" w:w="620"/>
            <w:tcMar>
              <w:top w:type="dxa" w:w="60"/>
              <w:left w:type="dxa" w:w="100"/>
              <w:bottom w:type="dxa" w:w="60"/>
              <w:right w:type="dxa" w:w="100"/>
            </w:tcMar>
          </w:tcPr>
          <w:p>
            <w:pPr>
              <w:jc w:val="center"/>
            </w:pPr>
            <w:r>
              <w:rPr>
                <w:b w:val="false"/>
                <w:bCs w:val="false"/>
                <w:sz w:val="18"/>
                <w:szCs w:val="18"/>
              </w:rPr>
              <w:t xml:space="preserve">25</w:t>
            </w:r>
          </w:p>
        </w:tc>
        <w:tc>
          <w:tcPr>
            <w:tcW w:type="dxa" w:w="780"/>
            <w:tcMar>
              <w:top w:type="dxa" w:w="60"/>
              <w:left w:type="dxa" w:w="100"/>
              <w:bottom w:type="dxa" w:w="60"/>
              <w:right w:type="dxa" w:w="100"/>
            </w:tcMar>
          </w:tcPr>
          <w:p>
            <w:pPr>
              <w:jc w:val="center"/>
            </w:pPr>
            <w:r>
              <w:rPr>
                <w:b w:val="false"/>
                <w:bCs w:val="false"/>
                <w:sz w:val="18"/>
                <w:szCs w:val="18"/>
              </w:rPr>
              <w:t xml:space="preserve">12</w:t>
            </w:r>
          </w:p>
        </w:tc>
        <w:tc>
          <w:tcPr>
            <w:tcW w:type="dxa" w:w="1900"/>
            <w:tcMar>
              <w:top w:type="dxa" w:w="60"/>
              <w:left w:type="dxa" w:w="100"/>
              <w:bottom w:type="dxa" w:w="60"/>
              <w:right w:type="dxa" w:w="100"/>
            </w:tcMar>
          </w:tcPr>
          <w:p>
            <w:pPr>
              <w:jc w:val="center"/>
            </w:pPr>
            <w:r>
              <w:rPr>
                <w:b w:val="false"/>
                <w:bCs w:val="false"/>
                <w:sz w:val="18"/>
                <w:szCs w:val="18"/>
              </w:rPr>
              <w:t xml:space="preserve">{3, 6, 10, 11, 11}</w:t>
            </w:r>
          </w:p>
        </w:tc>
        <w:tc>
          <w:tcPr>
            <w:tcW w:type="dxa" w:w="2600"/>
            <w:tcMar>
              <w:top w:type="dxa" w:w="60"/>
              <w:left w:type="dxa" w:w="100"/>
              <w:bottom w:type="dxa" w:w="60"/>
              <w:right w:type="dxa" w:w="100"/>
            </w:tcMar>
          </w:tcPr>
          <w:p>
            <w:pPr>
              <w:jc w:val="center"/>
            </w:pPr>
            <w:r>
              <w:rPr>
                <w:b w:val="false"/>
                <w:bCs w:val="false"/>
                <w:sz w:val="18"/>
                <w:szCs w:val="18"/>
              </w:rPr>
              <w:t xml:space="preserve">30,77 / 53,85 / 84,62 / 92,31 / 92,31</w:t>
            </w:r>
          </w:p>
        </w:tc>
        <w:tc>
          <w:tcPr>
            <w:tcW w:type="dxa" w:w="800"/>
            <w:tcMar>
              <w:top w:type="dxa" w:w="60"/>
              <w:left w:type="dxa" w:w="100"/>
              <w:bottom w:type="dxa" w:w="60"/>
              <w:right w:type="dxa" w:w="100"/>
            </w:tcMar>
          </w:tcPr>
          <w:p>
            <w:pPr>
              <w:jc w:val="center"/>
            </w:pPr>
            <w:r>
              <w:rPr>
                <w:b w:val="false"/>
                <w:bCs w:val="false"/>
                <w:sz w:val="18"/>
                <w:szCs w:val="18"/>
              </w:rPr>
              <w:t xml:space="preserve">13</w:t>
            </w:r>
          </w:p>
        </w:tc>
        <w:tc>
          <w:tcPr>
            <w:tcW w:type="dxa" w:w="2300"/>
            <w:tcMar>
              <w:top w:type="dxa" w:w="60"/>
              <w:left w:type="dxa" w:w="100"/>
              <w:bottom w:type="dxa" w:w="60"/>
              <w:right w:type="dxa" w:w="100"/>
            </w:tcMar>
          </w:tcPr>
          <w:p>
            <w:pPr>
              <w:jc w:val="left"/>
            </w:pPr>
            <w:r>
              <w:rPr>
                <w:b w:val="false"/>
                <w:bCs w:val="false"/>
                <w:sz w:val="18"/>
                <w:szCs w:val="18"/>
              </w:rPr>
              <w:t xml:space="preserve">Réplica de v7.7-a: puerta G11</w:t>
            </w:r>
          </w:p>
        </w:tc>
      </w:tr>
      <w:tr>
        <w:tc>
          <w:tcPr>
            <w:tcW w:type="dxa" w:w="620"/>
            <w:tcMar>
              <w:top w:type="dxa" w:w="60"/>
              <w:left w:type="dxa" w:w="100"/>
              <w:bottom w:type="dxa" w:w="60"/>
              <w:right w:type="dxa" w:w="100"/>
            </w:tcMar>
          </w:tcPr>
          <w:p>
            <w:pPr>
              <w:jc w:val="center"/>
            </w:pPr>
            <w:r>
              <w:rPr>
                <w:b w:val="false"/>
                <w:bCs w:val="false"/>
                <w:sz w:val="18"/>
                <w:szCs w:val="18"/>
              </w:rPr>
              <w:t xml:space="preserve">40</w:t>
            </w:r>
          </w:p>
        </w:tc>
        <w:tc>
          <w:tcPr>
            <w:tcW w:type="dxa" w:w="780"/>
            <w:tcMar>
              <w:top w:type="dxa" w:w="60"/>
              <w:left w:type="dxa" w:w="100"/>
              <w:bottom w:type="dxa" w:w="60"/>
              <w:right w:type="dxa" w:w="100"/>
            </w:tcMar>
          </w:tcPr>
          <w:p>
            <w:pPr>
              <w:jc w:val="center"/>
            </w:pPr>
            <w:r>
              <w:rPr>
                <w:b w:val="false"/>
                <w:bCs w:val="false"/>
                <w:sz w:val="18"/>
                <w:szCs w:val="18"/>
              </w:rPr>
              <w:t xml:space="preserve">20</w:t>
            </w:r>
          </w:p>
        </w:tc>
        <w:tc>
          <w:tcPr>
            <w:tcW w:type="dxa" w:w="1900"/>
            <w:tcMar>
              <w:top w:type="dxa" w:w="60"/>
              <w:left w:type="dxa" w:w="100"/>
              <w:bottom w:type="dxa" w:w="60"/>
              <w:right w:type="dxa" w:w="100"/>
            </w:tcMar>
          </w:tcPr>
          <w:p>
            <w:pPr>
              <w:jc w:val="center"/>
            </w:pPr>
            <w:r>
              <w:rPr>
                <w:b w:val="false"/>
                <w:bCs w:val="false"/>
                <w:sz w:val="18"/>
                <w:szCs w:val="18"/>
              </w:rPr>
              <w:t xml:space="preserve">{6, 10, 16, 18, 19}</w:t>
            </w:r>
          </w:p>
        </w:tc>
        <w:tc>
          <w:tcPr>
            <w:tcW w:type="dxa" w:w="2600"/>
            <w:tcMar>
              <w:top w:type="dxa" w:w="60"/>
              <w:left w:type="dxa" w:w="100"/>
              <w:bottom w:type="dxa" w:w="60"/>
              <w:right w:type="dxa" w:w="100"/>
            </w:tcMar>
          </w:tcPr>
          <w:p>
            <w:pPr>
              <w:jc w:val="center"/>
            </w:pPr>
            <w:r>
              <w:rPr>
                <w:b w:val="false"/>
                <w:bCs w:val="false"/>
                <w:sz w:val="18"/>
                <w:szCs w:val="18"/>
              </w:rPr>
              <w:t xml:space="preserve">33,33 / 52,38 / 80,95 / 90,48 / 95,24</w:t>
            </w:r>
          </w:p>
        </w:tc>
        <w:tc>
          <w:tcPr>
            <w:tcW w:type="dxa" w:w="800"/>
            <w:tcMar>
              <w:top w:type="dxa" w:w="60"/>
              <w:left w:type="dxa" w:w="100"/>
              <w:bottom w:type="dxa" w:w="60"/>
              <w:right w:type="dxa" w:w="100"/>
            </w:tcMar>
          </w:tcPr>
          <w:p>
            <w:pPr>
              <w:jc w:val="center"/>
            </w:pPr>
            <w:r>
              <w:rPr>
                <w:b w:val="false"/>
                <w:bCs w:val="false"/>
                <w:sz w:val="18"/>
                <w:szCs w:val="18"/>
              </w:rPr>
              <w:t xml:space="preserve">20</w:t>
            </w:r>
          </w:p>
        </w:tc>
        <w:tc>
          <w:tcPr>
            <w:tcW w:type="dxa" w:w="2300"/>
            <w:tcMar>
              <w:top w:type="dxa" w:w="60"/>
              <w:left w:type="dxa" w:w="100"/>
              <w:bottom w:type="dxa" w:w="60"/>
              <w:right w:type="dxa" w:w="100"/>
            </w:tcMar>
          </w:tcPr>
          <w:p>
            <w:pPr>
              <w:jc w:val="left"/>
            </w:pPr>
            <w:r>
              <w:rPr>
                <w:b w:val="false"/>
                <w:bCs w:val="false"/>
                <w:sz w:val="18"/>
                <w:szCs w:val="18"/>
              </w:rPr>
              <w:t xml:space="preserve">El 0,95 esperado a 0,24 pp del nominal</w:t>
            </w:r>
          </w:p>
        </w:tc>
      </w:tr>
      <w:tr>
        <w:tc>
          <w:tcPr>
            <w:tcW w:type="dxa" w:w="620"/>
            <w:tcMar>
              <w:top w:type="dxa" w:w="60"/>
              <w:left w:type="dxa" w:w="100"/>
              <w:bottom w:type="dxa" w:w="60"/>
              <w:right w:type="dxa" w:w="100"/>
            </w:tcMar>
          </w:tcPr>
          <w:p>
            <w:pPr>
              <w:jc w:val="center"/>
            </w:pPr>
            <w:r>
              <w:rPr>
                <w:b w:val="false"/>
                <w:bCs w:val="false"/>
                <w:sz w:val="18"/>
                <w:szCs w:val="18"/>
              </w:rPr>
              <w:t xml:space="preserve">50</w:t>
            </w:r>
          </w:p>
        </w:tc>
        <w:tc>
          <w:tcPr>
            <w:tcW w:type="dxa" w:w="780"/>
            <w:tcMar>
              <w:top w:type="dxa" w:w="60"/>
              <w:left w:type="dxa" w:w="100"/>
              <w:bottom w:type="dxa" w:w="60"/>
              <w:right w:type="dxa" w:w="100"/>
            </w:tcMar>
          </w:tcPr>
          <w:p>
            <w:pPr>
              <w:jc w:val="center"/>
            </w:pPr>
            <w:r>
              <w:rPr>
                <w:b w:val="false"/>
                <w:bCs w:val="false"/>
                <w:sz w:val="18"/>
                <w:szCs w:val="18"/>
              </w:rPr>
              <w:t xml:space="preserve">25</w:t>
            </w:r>
          </w:p>
        </w:tc>
        <w:tc>
          <w:tcPr>
            <w:tcW w:type="dxa" w:w="1900"/>
            <w:tcMar>
              <w:top w:type="dxa" w:w="60"/>
              <w:left w:type="dxa" w:w="100"/>
              <w:bottom w:type="dxa" w:w="60"/>
              <w:right w:type="dxa" w:w="100"/>
            </w:tcMar>
          </w:tcPr>
          <w:p>
            <w:pPr>
              <w:jc w:val="center"/>
            </w:pPr>
            <w:r>
              <w:rPr>
                <w:b w:val="false"/>
                <w:bCs w:val="false"/>
                <w:sz w:val="18"/>
                <w:szCs w:val="18"/>
              </w:rPr>
              <w:t xml:space="preserve">{7, 12, 20, 23, 24}</w:t>
            </w:r>
          </w:p>
        </w:tc>
        <w:tc>
          <w:tcPr>
            <w:tcW w:type="dxa" w:w="2600"/>
            <w:tcMar>
              <w:top w:type="dxa" w:w="60"/>
              <w:left w:type="dxa" w:w="100"/>
              <w:bottom w:type="dxa" w:w="60"/>
              <w:right w:type="dxa" w:w="100"/>
            </w:tcMar>
          </w:tcPr>
          <w:p>
            <w:pPr>
              <w:jc w:val="center"/>
            </w:pPr>
            <w:r>
              <w:rPr>
                <w:b w:val="false"/>
                <w:bCs w:val="false"/>
                <w:sz w:val="18"/>
                <w:szCs w:val="18"/>
              </w:rPr>
              <w:t xml:space="preserve">30,77 / 50,00 / 80,77 / 92,31 / 96,15</w:t>
            </w:r>
          </w:p>
        </w:tc>
        <w:tc>
          <w:tcPr>
            <w:tcW w:type="dxa" w:w="800"/>
            <w:tcMar>
              <w:top w:type="dxa" w:w="60"/>
              <w:left w:type="dxa" w:w="100"/>
              <w:bottom w:type="dxa" w:w="60"/>
              <w:right w:type="dxa" w:w="100"/>
            </w:tcMar>
          </w:tcPr>
          <w:p>
            <w:pPr>
              <w:jc w:val="center"/>
            </w:pPr>
            <w:r>
              <w:rPr>
                <w:b w:val="false"/>
                <w:bCs w:val="false"/>
                <w:sz w:val="18"/>
                <w:szCs w:val="18"/>
              </w:rPr>
              <w:t xml:space="preserve">25</w:t>
            </w:r>
          </w:p>
        </w:tc>
        <w:tc>
          <w:tcPr>
            <w:tcW w:type="dxa" w:w="2300"/>
            <w:tcMar>
              <w:top w:type="dxa" w:w="60"/>
              <w:left w:type="dxa" w:w="100"/>
              <w:bottom w:type="dxa" w:w="60"/>
              <w:right w:type="dxa" w:w="100"/>
            </w:tcMar>
          </w:tcPr>
          <w:p>
            <w:pPr>
              <w:jc w:val="left"/>
            </w:pPr>
            <w:r>
              <w:rPr>
                <w:b w:val="false"/>
                <w:bCs w:val="false"/>
                <w:sz w:val="18"/>
                <w:szCs w:val="18"/>
              </w:rPr>
              <w:t xml:space="preserve">Hipótesis § 5.3 NT-01; sobrepaso 1,15 pp</w:t>
            </w:r>
          </w:p>
        </w:tc>
      </w:tr>
    </w:tbl>
    <w:p>
      <w:pPr>
        <w:spacing w:after="160"/>
      </w:pPr>
    </w:p>
    <w:p>
      <w:pPr>
        <w:spacing w:after="120"/>
      </w:pPr>
      <w:r>
        <w:rPr>
          <w:b/>
          <w:bCs/>
        </w:rPr>
        <w:t xml:space="preserve">Nota de honestidad (ajustada por NA-01 § 3): </w:t>
      </w:r>
      <w:r>
        <w:t xml:space="preserve">la separación de umbrales en M = 40 y 50 es aritmética; la de las coberturas realizadas (C11.a) requiere además que algún ground truth caiga entre umbrales consecutivos — prácticamente seguro sobre ~1.200 evaluaciones, pero es garantía de tamaño de muestra, no de aritmética pura. El contenido empírico del experimento está en dónde caen las coberturas respecto de los esperados y en si la calibración y la agudeza se sostienen.</w:t>
      </w:r>
    </w:p>
    <w:p>
      <w:pPr>
        <w:pStyle w:val="Heading2"/>
        <w:spacing w:after="140" w:before="280"/>
      </w:pPr>
      <w:r>
        <w:t xml:space="preserve">2.3 Dataset y brazos (incorpora E5)</w:t>
      </w:r>
    </w:p>
    <w:p>
      <w:pPr>
        <w:spacing w:after="120"/>
      </w:pPr>
      <w:r>
        <w:t xml:space="preserve">Mismo dataset de 60 configuraciones y mismas seeds de v7.7-a. Brazo principal en los tres M; brazo de control en M = 25 y M = 50 (calibra contra el ensemble: insensible a M por construcción; se corre en los extremos como verificación de invariancia).</w:t>
      </w:r>
    </w:p>
    <w:p>
      <w:pPr>
        <w:spacing w:after="120"/>
      </w:pPr>
      <w:r>
        <w:rPr>
          <w:b/>
          <w:bCs/>
        </w:rPr>
        <w:t xml:space="preserve">Especificación del conjunto de evaluación (E5, resuelta contra el código y confirmada contra los datos): </w:t>
      </w:r>
      <w:r>
        <w:t xml:space="preserve">verificado en el módulo común congelado de v7.7-a (evaluate_config_v77a, rama de control), el control evalúa los M ground truths COMPLETOS — en v7.7-a evaluó 25, no 13. La cuarta ronda de auditoría confirmó ese comportamiento por una vía independiente del código, sobre la table_long.csv: la granularidad de cov_emp delata el número de ground truths evaluados, con paso 1/13 = 0,076923 en el brazo principal y 1/25 = 0,040000 en el de control. Por lo tanto: el principal evalúa M − n_calib ground truths (13 / 20 / 25) y el control evalúa M (25 / 50), reproduciendo el comportamiento congelado y manteniendo G11 verificable. Se declara que los brazos no comparten tamaño de evaluación y que la invariancia del control se compara del control contra sí mismo entre M, nunca contra el principal.</w:t>
      </w:r>
    </w:p>
    <w:p>
      <w:pPr>
        <w:pStyle w:val="Heading1"/>
        <w:spacing w:after="140" w:before="280"/>
      </w:pPr>
      <w:r>
        <w:t xml:space="preserve">3. Puerta y Criterios</w:t>
      </w:r>
    </w:p>
    <w:p>
      <w:pPr>
        <w:spacing w:after="120"/>
      </w:pPr>
      <w:r>
        <w:rPr>
          <w:b/>
          <w:bCs/>
        </w:rPr>
        <w:t xml:space="preserve">G11 — puerta de regresión en tres niveles (E4, aborta el experimento): </w:t>
      </w:r>
      <w:r>
        <w:t xml:space="preserve">con M = 25, ambos brazos deben reproducir el stage 1 de v7.7-a en este orden: (i) identidad del conjunto de configuraciones y sus identificadores; (ii) igualdad por configuración y por celda de coberturas y umbrales, con tolerancia absoluta declarada de 1e-12 (precedente: puerta M1 del cierre del MTPS financiero); (iii) igualdad dígito a dígito de las métricas agregadas. El fallo de cualquier nivel emite artefacto de aborto y detiene el experimento antes de M = 40 y 50.</w:t>
      </w:r>
    </w:p>
    <w:p>
      <w:pPr>
        <w:spacing w:after="120"/>
      </w:pPr>
      <w:r>
        <w:rPr>
          <w:b/>
          <w:bCs/>
        </w:rPr>
        <w:t xml:space="preserve">G12 — verificación de índices prerregistrados (aborta el brazo, quinta ronda de auditoría): </w:t>
      </w:r>
      <w:r>
        <w:t xml:space="preserve">antes de evaluar cobertura alguna en M = 40 y M = 50, el consolidador afirma que los índices de umbral que produce la regla n_calib = piso(M/2) coinciden exactamente con los prerregistrados en la § 2.2 — {6, 10, 16, 18, 19} para M = 40 y {7, 12, 20, 23, 24} para M = 50 —, y emite artefacto de aborto si no. Fundamento: G11 se ejecuta únicamente en M = 25, donde la enmienda devuelve n_calib = 12 y es un no-op respecto del método congelado, de modo que verifica el camino heredado y no el que la enmienda estrena. C11.a no cubre ese hueco, porque opera sobre coberturas realizadas y es criterio, no puerta: con índices mal calculados podría cumplirse igual con el brazo entero desplazado. G12 no consume cómputo y cierra el único tramo del método que de otro modo entraría a la corrida sin verificación previa.</w:t>
      </w:r>
    </w:p>
    <w:p>
      <w:pPr>
        <w:spacing w:after="120"/>
      </w:pPr>
      <w:r>
        <w:rPr>
          <w:b/>
          <w:bCs/>
        </w:rPr>
        <w:t xml:space="preserve">G13 — identidad del dataset entre pares (brazo, M) (aborta el par, séptima ronda de auditoría): </w:t>
      </w:r>
      <w:r>
        <w:t xml:space="preserve">el conjunto de configuraciones — lista ordenada de config_id con sus seeds — se hashea una sola vez con SHA-256 y ese hash queda registrado en el acta de congelamiento. Al inicio de cada par (brazo, M) el runner recalcula el hash sobre el dataset recién generado y aborta si difiere. Fundamento: generate_mixed_dataset() se invoca de forma independiente en cada stage — en v7.7-a se regeneró cuatro veces — y v7.7-b reparte cinco pares (brazo, M) en dos o tres sesiones de Colab, con subida manual del módulo común entre ellas. G11 detectaría un dataset distinto solo en M = 25, por comparación contra v7.7-a; los brazos de M = 40 y M = 50 no tienen equivalente, y G12 verifica índices, no configuraciones. Sin G13, una divergencia del dataset entre sesiones haría incomparables los brazos sin que ningún criterio lo registrara. El riesgo no es hipotético: el programa ya registró un episodio de dos ventanas de trabajo modificando los mismos scripts en paralelo (§ 7.3).</w:t>
      </w:r>
    </w:p>
    <w:p>
      <w:pPr>
        <w:pStyle w:val="ListParagraph"/>
        <w:numPr>
          <w:ilvl w:val="0"/>
          <w:numId w:val="1"/>
        </w:numPr>
        <w:spacing w:after="120"/>
      </w:pPr>
      <w:r>
        <w:rPr>
          <w:b/>
          <w:bCs/>
        </w:rPr>
        <w:t xml:space="preserve">C11.a (vinculante): </w:t>
      </w:r>
      <w:r>
        <w:t xml:space="preserve">en M = 40 y 50, Cov(0,90) ≠ Cov(0,95).</w:t>
      </w:r>
    </w:p>
    <w:p>
      <w:pPr>
        <w:pStyle w:val="ListParagraph"/>
        <w:numPr>
          <w:ilvl w:val="0"/>
          <w:numId w:val="1"/>
        </w:numPr>
        <w:spacing w:after="120"/>
      </w:pPr>
      <w:r>
        <w:rPr>
          <w:b/>
          <w:bCs/>
        </w:rPr>
        <w:t xml:space="preserve">C11.b (vinculante, banda rederivada por E3): </w:t>
      </w:r>
      <w:r>
        <w:t xml:space="preserve">en M = 40 y 50, cada cobertura realizada de la grilla dentro de ±2 pp de su valor esperado (§ 2.2). Fundamento prerregistrado: bootstrap sobre las 60 configuraciones de la table_long.csv de v7.7-a (remuestreo de configuraciones, no de ground truths; 5.000 réplicas; semilla 4242). Cifras corregidas en la cuarta ronda y reproducidas por una segunda implementación independiente — semiancho máximo del IC95 del agregado: 1,060 pp, alcanzado en el nivel 0,30. Conforme a la regla de E3, al ser menor que 2 pp se conserva ±2 pp como banda conservadora (~1,9× la dispersión estimada). Como ±2 pp equivale a ~3,7 veces el error estándar del agregado, el reporte incluye además el desvío de cada cobertura en unidades del SE bootstrap por nivel — 0,537 / 0,530 / 0,450 / 0,345 / 0,345 pp —, porque un cumplimiento a 0,3σ y uno a 3σ no deben leerse igual. Se hace constar que los SE de 0,90 y 0,95 son idénticos por construcción, ya que el colapso les asigna el mismo umbral: cualquier tabla que los muestre distintos es artefacto de redondeo. La banda vinculante sigue siendo ±2 pp.</w:t>
      </w:r>
    </w:p>
    <w:p>
      <w:pPr>
        <w:pStyle w:val="ListParagraph"/>
        <w:numPr>
          <w:ilvl w:val="0"/>
          <w:numId w:val="1"/>
        </w:numPr>
        <w:spacing w:after="120"/>
      </w:pPr>
      <w:r>
        <w:rPr>
          <w:b/>
          <w:bCs/>
        </w:rPr>
        <w:t xml:space="preserve">C11.c (vinculante): </w:t>
      </w:r>
      <w:r>
        <w:t xml:space="preserve">calibración global mantenida — 5/5 niveles con ErrCal ≤ 10 pp respecto del nominal en los tres M del principal.</w:t>
      </w:r>
    </w:p>
    <w:p>
      <w:pPr>
        <w:pStyle w:val="ListParagraph"/>
        <w:numPr>
          <w:ilvl w:val="0"/>
          <w:numId w:val="1"/>
        </w:numPr>
        <w:spacing w:after="120"/>
      </w:pPr>
      <w:r>
        <w:rPr>
          <w:b/>
          <w:bCs/>
        </w:rPr>
        <w:t xml:space="preserve">C11.f — agudeza (E1, umbral calibrado desde v7.7-a): </w:t>
      </w:r>
      <w:r>
        <w:t xml:space="preserve">(i) vinculante: fracción ≥ 80 % de celdas con proxy ≤ 1,0 en los tres M (heredero de C10.d; se registra que este criterio dio 100 % en v7.6-b, v7.6-c y v7.7-a, por lo que no puede sostener S11.1 por sí solo). (ii) vinculante: en M = 40 y M = 50, mediana(τ_0,95)/mediana(τ_0,90) ≤ 1,076. Calibración prerregistrada del umbral: el cociente 0,95/0,90 es idénticamente 1,000 en v7.7-a por el colapso, pero el crecimiento del radio τ por paso de índice cerca de la cola sí es estimable desde los datos existentes — medido sobre la table_long.csv, mediana(τ_0,90)/mediana(τ_0,80) = 1,0254. El umbral se fija como 1 + 3·(1,0254 − 1) = 1,076, con k = 3 declarado como holgura fijada antes de correr y no como cota demostrada: sobre el cociente de referencia operan dos efectos opuestos cuyo neto no está establecido (el crecimiento del umbral se acelera hacia el extremo de la cola, pero la masa de probabilidad por paso de índice se achica con n_calib: 1/13 = 0,077 a M = 25, 1/21 = 0,048 a M = 40, 1/26 = 0,039 a M = 50). Refuerzo estructural del emparejamiento: los tres saltos comparados (10→11, 18→19, 23→24) son, en los tres M, el paso del penúltimo al último índice usable — misma posición estructural, no solo mismo tamaño de paso. (iii) reporte obligatorio: distribución del proxy por celda (mediana y cuartiles) por M, y escalera de medianas de τ por nivel y M. Nota de especificación verificada sobre los datos: el proxy de v7.7-a es por celda y no varía por nivel; la magnitud de tamaño por nivel es el radio τ, y así se reporta.</w:t>
      </w:r>
    </w:p>
    <w:p>
      <w:pPr>
        <w:spacing w:after="120"/>
      </w:pPr>
      <w:r>
        <w:rPr>
          <w:b/>
          <w:bCs/>
        </w:rPr>
        <w:t xml:space="preserve">Procedencia del cociente de referencia (corrección de la cuarta ronda). </w:t>
      </w:r>
      <w:r>
        <w:t xml:space="preserve">El valor 1,0254 corresponde al brazo principal a N = 50, y se adopta precisamente porque v7.7-b corre con N = 50 fijo. Se deja constancia de que el cociente no es estable en N: medido sobre la misma table_long.csv da 1,0254 a N = 50, 1,0243 a N = 100 y 1,0388 a N = 200, de modo que anclarlo en N = 200 habría producido un umbral de 1,116 en vez de 1,076. La coincidencia entre el N de referencia y el N del experimento es una condición de la calibración, no una casualidad, y debe conservarse si el umbral se reutiliza en etapas posteriores con otro N.</w:t>
      </w:r>
    </w:p>
    <w:p>
      <w:pPr>
        <w:pStyle w:val="ListParagraph"/>
        <w:numPr>
          <w:ilvl w:val="0"/>
          <w:numId w:val="1"/>
        </w:numPr>
        <w:spacing w:after="120"/>
      </w:pPr>
      <w:r>
        <w:rPr>
          <w:b/>
          <w:bCs/>
        </w:rPr>
        <w:t xml:space="preserve">C11.d (instrumental): </w:t>
      </w:r>
      <w:r>
        <w:t xml:space="preserve">std de ErrCal(0,50) entre splits ≤ 5 pp en los tres M.</w:t>
      </w:r>
    </w:p>
    <w:p>
      <w:pPr>
        <w:pStyle w:val="ListParagraph"/>
        <w:numPr>
          <w:ilvl w:val="0"/>
          <w:numId w:val="1"/>
        </w:numPr>
        <w:spacing w:after="120"/>
      </w:pPr>
      <w:r>
        <w:rPr>
          <w:b/>
          <w:bCs/>
        </w:rPr>
        <w:t xml:space="preserve">C11.e (instrumental): </w:t>
      </w:r>
      <w:r>
        <w:t xml:space="preserve">desvío esperado del nivel alto |Cov(0,95) − 95 %|: 2,69 (M = 25, estructural) / 0,24 (M = 40) / 1,15 pp (M = 50, sobrepaso). Predicción registrada: M = 40 minimiza el desvío del nominal en el nivel alto.</w:t>
      </w:r>
    </w:p>
    <w:p>
      <w:pPr>
        <w:pStyle w:val="Heading1"/>
        <w:spacing w:after="140" w:before="280"/>
      </w:pPr>
      <w:r>
        <w:t xml:space="preserve">4. Escenarios y Regla de Consecuencia (D5 refundado por E2)</w:t>
      </w:r>
    </w:p>
    <w:p>
      <w:pPr>
        <w:spacing w:after="120"/>
      </w:pPr>
      <w:r>
        <w:t xml:space="preserve">Desvío estructural |esperado − nominal| por nivel y suma (pp), calculado desde § 2.2 y verificado en NA-01 §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250"/>
        <w:gridCol w:w="1250"/>
        <w:gridCol w:w="1250"/>
        <w:gridCol w:w="1250"/>
        <w:gridCol w:w="1250"/>
        <w:gridCol w:w="1850"/>
      </w:tblGrid>
      <w:tr>
        <w:tc>
          <w:tcPr>
            <w:tcW w:type="dxa" w:w="900"/>
            <w:shd w:fill="E8E8E8" w:val="clear"/>
            <w:tcMar>
              <w:top w:type="dxa" w:w="60"/>
              <w:left w:type="dxa" w:w="100"/>
              <w:bottom w:type="dxa" w:w="60"/>
              <w:right w:type="dxa" w:w="100"/>
            </w:tcMar>
          </w:tcPr>
          <w:p>
            <w:pPr>
              <w:jc w:val="center"/>
            </w:pPr>
            <w:r>
              <w:rPr>
                <w:b/>
                <w:bCs/>
                <w:sz w:val="18"/>
                <w:szCs w:val="18"/>
              </w:rPr>
              <w:t xml:space="preserve">M</w:t>
            </w:r>
          </w:p>
        </w:tc>
        <w:tc>
          <w:tcPr>
            <w:tcW w:type="dxa" w:w="1250"/>
            <w:shd w:fill="E8E8E8" w:val="clear"/>
            <w:tcMar>
              <w:top w:type="dxa" w:w="60"/>
              <w:left w:type="dxa" w:w="100"/>
              <w:bottom w:type="dxa" w:w="60"/>
              <w:right w:type="dxa" w:w="100"/>
            </w:tcMar>
          </w:tcPr>
          <w:p>
            <w:pPr>
              <w:jc w:val="center"/>
            </w:pPr>
            <w:r>
              <w:rPr>
                <w:b/>
                <w:bCs/>
                <w:sz w:val="18"/>
                <w:szCs w:val="18"/>
              </w:rPr>
              <w:t xml:space="preserve">0,30</w:t>
            </w:r>
          </w:p>
        </w:tc>
        <w:tc>
          <w:tcPr>
            <w:tcW w:type="dxa" w:w="1250"/>
            <w:shd w:fill="E8E8E8" w:val="clear"/>
            <w:tcMar>
              <w:top w:type="dxa" w:w="60"/>
              <w:left w:type="dxa" w:w="100"/>
              <w:bottom w:type="dxa" w:w="60"/>
              <w:right w:type="dxa" w:w="100"/>
            </w:tcMar>
          </w:tcPr>
          <w:p>
            <w:pPr>
              <w:jc w:val="center"/>
            </w:pPr>
            <w:r>
              <w:rPr>
                <w:b/>
                <w:bCs/>
                <w:sz w:val="18"/>
                <w:szCs w:val="18"/>
              </w:rPr>
              <w:t xml:space="preserve">0,50</w:t>
            </w:r>
          </w:p>
        </w:tc>
        <w:tc>
          <w:tcPr>
            <w:tcW w:type="dxa" w:w="1250"/>
            <w:shd w:fill="E8E8E8" w:val="clear"/>
            <w:tcMar>
              <w:top w:type="dxa" w:w="60"/>
              <w:left w:type="dxa" w:w="100"/>
              <w:bottom w:type="dxa" w:w="60"/>
              <w:right w:type="dxa" w:w="100"/>
            </w:tcMar>
          </w:tcPr>
          <w:p>
            <w:pPr>
              <w:jc w:val="center"/>
            </w:pPr>
            <w:r>
              <w:rPr>
                <w:b/>
                <w:bCs/>
                <w:sz w:val="18"/>
                <w:szCs w:val="18"/>
              </w:rPr>
              <w:t xml:space="preserve">0,80</w:t>
            </w:r>
          </w:p>
        </w:tc>
        <w:tc>
          <w:tcPr>
            <w:tcW w:type="dxa" w:w="1250"/>
            <w:shd w:fill="E8E8E8" w:val="clear"/>
            <w:tcMar>
              <w:top w:type="dxa" w:w="60"/>
              <w:left w:type="dxa" w:w="100"/>
              <w:bottom w:type="dxa" w:w="60"/>
              <w:right w:type="dxa" w:w="100"/>
            </w:tcMar>
          </w:tcPr>
          <w:p>
            <w:pPr>
              <w:jc w:val="center"/>
            </w:pPr>
            <w:r>
              <w:rPr>
                <w:b/>
                <w:bCs/>
                <w:sz w:val="18"/>
                <w:szCs w:val="18"/>
              </w:rPr>
              <w:t xml:space="preserve">0,90</w:t>
            </w:r>
          </w:p>
        </w:tc>
        <w:tc>
          <w:tcPr>
            <w:tcW w:type="dxa" w:w="1250"/>
            <w:shd w:fill="E8E8E8" w:val="clear"/>
            <w:tcMar>
              <w:top w:type="dxa" w:w="60"/>
              <w:left w:type="dxa" w:w="100"/>
              <w:bottom w:type="dxa" w:w="60"/>
              <w:right w:type="dxa" w:w="100"/>
            </w:tcMar>
          </w:tcPr>
          <w:p>
            <w:pPr>
              <w:jc w:val="center"/>
            </w:pPr>
            <w:r>
              <w:rPr>
                <w:b/>
                <w:bCs/>
                <w:sz w:val="18"/>
                <w:szCs w:val="18"/>
              </w:rPr>
              <w:t xml:space="preserve">0,95</w:t>
            </w:r>
          </w:p>
        </w:tc>
        <w:tc>
          <w:tcPr>
            <w:tcW w:type="dxa" w:w="1850"/>
            <w:shd w:fill="E8E8E8" w:val="clear"/>
            <w:tcMar>
              <w:top w:type="dxa" w:w="60"/>
              <w:left w:type="dxa" w:w="100"/>
              <w:bottom w:type="dxa" w:w="60"/>
              <w:right w:type="dxa" w:w="100"/>
            </w:tcMar>
          </w:tcPr>
          <w:p>
            <w:pPr>
              <w:jc w:val="center"/>
            </w:pPr>
            <w:r>
              <w:rPr>
                <w:b/>
                <w:bCs/>
                <w:sz w:val="18"/>
                <w:szCs w:val="18"/>
              </w:rPr>
              <w:t xml:space="preserve">Suma</w:t>
            </w:r>
          </w:p>
        </w:tc>
      </w:tr>
      <w:tr>
        <w:tc>
          <w:tcPr>
            <w:tcW w:type="dxa" w:w="900"/>
            <w:tcMar>
              <w:top w:type="dxa" w:w="60"/>
              <w:left w:type="dxa" w:w="100"/>
              <w:bottom w:type="dxa" w:w="60"/>
              <w:right w:type="dxa" w:w="100"/>
            </w:tcMar>
          </w:tcPr>
          <w:p>
            <w:pPr>
              <w:jc w:val="center"/>
            </w:pPr>
            <w:r>
              <w:rPr>
                <w:b w:val="false"/>
                <w:bCs w:val="false"/>
                <w:sz w:val="18"/>
                <w:szCs w:val="18"/>
              </w:rPr>
              <w:t xml:space="preserve">25</w:t>
            </w:r>
          </w:p>
        </w:tc>
        <w:tc>
          <w:tcPr>
            <w:tcW w:type="dxa" w:w="1250"/>
            <w:tcMar>
              <w:top w:type="dxa" w:w="60"/>
              <w:left w:type="dxa" w:w="100"/>
              <w:bottom w:type="dxa" w:w="60"/>
              <w:right w:type="dxa" w:w="100"/>
            </w:tcMar>
          </w:tcPr>
          <w:p>
            <w:pPr>
              <w:jc w:val="center"/>
            </w:pPr>
            <w:r>
              <w:rPr>
                <w:b w:val="false"/>
                <w:bCs w:val="false"/>
                <w:sz w:val="18"/>
                <w:szCs w:val="18"/>
              </w:rPr>
              <w:t xml:space="preserve">0,77</w:t>
            </w:r>
          </w:p>
        </w:tc>
        <w:tc>
          <w:tcPr>
            <w:tcW w:type="dxa" w:w="1250"/>
            <w:tcMar>
              <w:top w:type="dxa" w:w="60"/>
              <w:left w:type="dxa" w:w="100"/>
              <w:bottom w:type="dxa" w:w="60"/>
              <w:right w:type="dxa" w:w="100"/>
            </w:tcMar>
          </w:tcPr>
          <w:p>
            <w:pPr>
              <w:jc w:val="center"/>
            </w:pPr>
            <w:r>
              <w:rPr>
                <w:b w:val="false"/>
                <w:bCs w:val="false"/>
                <w:sz w:val="18"/>
                <w:szCs w:val="18"/>
              </w:rPr>
              <w:t xml:space="preserve">3,85</w:t>
            </w:r>
          </w:p>
        </w:tc>
        <w:tc>
          <w:tcPr>
            <w:tcW w:type="dxa" w:w="1250"/>
            <w:tcMar>
              <w:top w:type="dxa" w:w="60"/>
              <w:left w:type="dxa" w:w="100"/>
              <w:bottom w:type="dxa" w:w="60"/>
              <w:right w:type="dxa" w:w="100"/>
            </w:tcMar>
          </w:tcPr>
          <w:p>
            <w:pPr>
              <w:jc w:val="center"/>
            </w:pPr>
            <w:r>
              <w:rPr>
                <w:b w:val="false"/>
                <w:bCs w:val="false"/>
                <w:sz w:val="18"/>
                <w:szCs w:val="18"/>
              </w:rPr>
              <w:t xml:space="preserve">4,62</w:t>
            </w:r>
          </w:p>
        </w:tc>
        <w:tc>
          <w:tcPr>
            <w:tcW w:type="dxa" w:w="1250"/>
            <w:tcMar>
              <w:top w:type="dxa" w:w="60"/>
              <w:left w:type="dxa" w:w="100"/>
              <w:bottom w:type="dxa" w:w="60"/>
              <w:right w:type="dxa" w:w="100"/>
            </w:tcMar>
          </w:tcPr>
          <w:p>
            <w:pPr>
              <w:jc w:val="center"/>
            </w:pPr>
            <w:r>
              <w:rPr>
                <w:b w:val="false"/>
                <w:bCs w:val="false"/>
                <w:sz w:val="18"/>
                <w:szCs w:val="18"/>
              </w:rPr>
              <w:t xml:space="preserve">2,31</w:t>
            </w:r>
          </w:p>
        </w:tc>
        <w:tc>
          <w:tcPr>
            <w:tcW w:type="dxa" w:w="1250"/>
            <w:tcMar>
              <w:top w:type="dxa" w:w="60"/>
              <w:left w:type="dxa" w:w="100"/>
              <w:bottom w:type="dxa" w:w="60"/>
              <w:right w:type="dxa" w:w="100"/>
            </w:tcMar>
          </w:tcPr>
          <w:p>
            <w:pPr>
              <w:jc w:val="center"/>
            </w:pPr>
            <w:r>
              <w:rPr>
                <w:b w:val="false"/>
                <w:bCs w:val="false"/>
                <w:sz w:val="18"/>
                <w:szCs w:val="18"/>
              </w:rPr>
              <w:t xml:space="preserve">2,69</w:t>
            </w:r>
          </w:p>
        </w:tc>
        <w:tc>
          <w:tcPr>
            <w:tcW w:type="dxa" w:w="1850"/>
            <w:tcMar>
              <w:top w:type="dxa" w:w="60"/>
              <w:left w:type="dxa" w:w="100"/>
              <w:bottom w:type="dxa" w:w="60"/>
              <w:right w:type="dxa" w:w="100"/>
            </w:tcMar>
          </w:tcPr>
          <w:p>
            <w:pPr>
              <w:jc w:val="center"/>
            </w:pPr>
            <w:r>
              <w:rPr>
                <w:b w:val="false"/>
                <w:bCs w:val="false"/>
                <w:sz w:val="18"/>
                <w:szCs w:val="18"/>
              </w:rPr>
              <w:t xml:space="preserve">14,24</w:t>
            </w:r>
          </w:p>
        </w:tc>
      </w:tr>
      <w:tr>
        <w:tc>
          <w:tcPr>
            <w:tcW w:type="dxa" w:w="900"/>
            <w:tcMar>
              <w:top w:type="dxa" w:w="60"/>
              <w:left w:type="dxa" w:w="100"/>
              <w:bottom w:type="dxa" w:w="60"/>
              <w:right w:type="dxa" w:w="100"/>
            </w:tcMar>
          </w:tcPr>
          <w:p>
            <w:pPr>
              <w:jc w:val="center"/>
            </w:pPr>
            <w:r>
              <w:rPr>
                <w:b w:val="false"/>
                <w:bCs w:val="false"/>
                <w:sz w:val="18"/>
                <w:szCs w:val="18"/>
              </w:rPr>
              <w:t xml:space="preserve">40</w:t>
            </w:r>
          </w:p>
        </w:tc>
        <w:tc>
          <w:tcPr>
            <w:tcW w:type="dxa" w:w="1250"/>
            <w:tcMar>
              <w:top w:type="dxa" w:w="60"/>
              <w:left w:type="dxa" w:w="100"/>
              <w:bottom w:type="dxa" w:w="60"/>
              <w:right w:type="dxa" w:w="100"/>
            </w:tcMar>
          </w:tcPr>
          <w:p>
            <w:pPr>
              <w:jc w:val="center"/>
            </w:pPr>
            <w:r>
              <w:rPr>
                <w:b w:val="false"/>
                <w:bCs w:val="false"/>
                <w:sz w:val="18"/>
                <w:szCs w:val="18"/>
              </w:rPr>
              <w:t xml:space="preserve">3,33</w:t>
            </w:r>
          </w:p>
        </w:tc>
        <w:tc>
          <w:tcPr>
            <w:tcW w:type="dxa" w:w="1250"/>
            <w:tcMar>
              <w:top w:type="dxa" w:w="60"/>
              <w:left w:type="dxa" w:w="100"/>
              <w:bottom w:type="dxa" w:w="60"/>
              <w:right w:type="dxa" w:w="100"/>
            </w:tcMar>
          </w:tcPr>
          <w:p>
            <w:pPr>
              <w:jc w:val="center"/>
            </w:pPr>
            <w:r>
              <w:rPr>
                <w:b w:val="false"/>
                <w:bCs w:val="false"/>
                <w:sz w:val="18"/>
                <w:szCs w:val="18"/>
              </w:rPr>
              <w:t xml:space="preserve">2,38</w:t>
            </w:r>
          </w:p>
        </w:tc>
        <w:tc>
          <w:tcPr>
            <w:tcW w:type="dxa" w:w="1250"/>
            <w:tcMar>
              <w:top w:type="dxa" w:w="60"/>
              <w:left w:type="dxa" w:w="100"/>
              <w:bottom w:type="dxa" w:w="60"/>
              <w:right w:type="dxa" w:w="100"/>
            </w:tcMar>
          </w:tcPr>
          <w:p>
            <w:pPr>
              <w:jc w:val="center"/>
            </w:pPr>
            <w:r>
              <w:rPr>
                <w:b w:val="false"/>
                <w:bCs w:val="false"/>
                <w:sz w:val="18"/>
                <w:szCs w:val="18"/>
              </w:rPr>
              <w:t xml:space="preserve">0,95</w:t>
            </w:r>
          </w:p>
        </w:tc>
        <w:tc>
          <w:tcPr>
            <w:tcW w:type="dxa" w:w="1250"/>
            <w:tcMar>
              <w:top w:type="dxa" w:w="60"/>
              <w:left w:type="dxa" w:w="100"/>
              <w:bottom w:type="dxa" w:w="60"/>
              <w:right w:type="dxa" w:w="100"/>
            </w:tcMar>
          </w:tcPr>
          <w:p>
            <w:pPr>
              <w:jc w:val="center"/>
            </w:pPr>
            <w:r>
              <w:rPr>
                <w:b w:val="false"/>
                <w:bCs w:val="false"/>
                <w:sz w:val="18"/>
                <w:szCs w:val="18"/>
              </w:rPr>
              <w:t xml:space="preserve">0,48</w:t>
            </w:r>
          </w:p>
        </w:tc>
        <w:tc>
          <w:tcPr>
            <w:tcW w:type="dxa" w:w="1250"/>
            <w:tcMar>
              <w:top w:type="dxa" w:w="60"/>
              <w:left w:type="dxa" w:w="100"/>
              <w:bottom w:type="dxa" w:w="60"/>
              <w:right w:type="dxa" w:w="100"/>
            </w:tcMar>
          </w:tcPr>
          <w:p>
            <w:pPr>
              <w:jc w:val="center"/>
            </w:pPr>
            <w:r>
              <w:rPr>
                <w:b w:val="false"/>
                <w:bCs w:val="false"/>
                <w:sz w:val="18"/>
                <w:szCs w:val="18"/>
              </w:rPr>
              <w:t xml:space="preserve">0,24</w:t>
            </w:r>
          </w:p>
        </w:tc>
        <w:tc>
          <w:tcPr>
            <w:tcW w:type="dxa" w:w="1850"/>
            <w:tcMar>
              <w:top w:type="dxa" w:w="60"/>
              <w:left w:type="dxa" w:w="100"/>
              <w:bottom w:type="dxa" w:w="60"/>
              <w:right w:type="dxa" w:w="100"/>
            </w:tcMar>
          </w:tcPr>
          <w:p>
            <w:pPr>
              <w:jc w:val="center"/>
            </w:pPr>
            <w:r>
              <w:rPr>
                <w:b w:val="false"/>
                <w:bCs w:val="false"/>
                <w:sz w:val="18"/>
                <w:szCs w:val="18"/>
              </w:rPr>
              <w:t xml:space="preserve">7,38</w:t>
            </w:r>
          </w:p>
        </w:tc>
      </w:tr>
      <w:tr>
        <w:tc>
          <w:tcPr>
            <w:tcW w:type="dxa" w:w="900"/>
            <w:tcMar>
              <w:top w:type="dxa" w:w="60"/>
              <w:left w:type="dxa" w:w="100"/>
              <w:bottom w:type="dxa" w:w="60"/>
              <w:right w:type="dxa" w:w="100"/>
            </w:tcMar>
          </w:tcPr>
          <w:p>
            <w:pPr>
              <w:jc w:val="center"/>
            </w:pPr>
            <w:r>
              <w:rPr>
                <w:b w:val="false"/>
                <w:bCs w:val="false"/>
                <w:sz w:val="18"/>
                <w:szCs w:val="18"/>
              </w:rPr>
              <w:t xml:space="preserve">50</w:t>
            </w:r>
          </w:p>
        </w:tc>
        <w:tc>
          <w:tcPr>
            <w:tcW w:type="dxa" w:w="1250"/>
            <w:tcMar>
              <w:top w:type="dxa" w:w="60"/>
              <w:left w:type="dxa" w:w="100"/>
              <w:bottom w:type="dxa" w:w="60"/>
              <w:right w:type="dxa" w:w="100"/>
            </w:tcMar>
          </w:tcPr>
          <w:p>
            <w:pPr>
              <w:jc w:val="center"/>
            </w:pPr>
            <w:r>
              <w:rPr>
                <w:b w:val="false"/>
                <w:bCs w:val="false"/>
                <w:sz w:val="18"/>
                <w:szCs w:val="18"/>
              </w:rPr>
              <w:t xml:space="preserve">0,77</w:t>
            </w:r>
          </w:p>
        </w:tc>
        <w:tc>
          <w:tcPr>
            <w:tcW w:type="dxa" w:w="1250"/>
            <w:tcMar>
              <w:top w:type="dxa" w:w="60"/>
              <w:left w:type="dxa" w:w="100"/>
              <w:bottom w:type="dxa" w:w="60"/>
              <w:right w:type="dxa" w:w="100"/>
            </w:tcMar>
          </w:tcPr>
          <w:p>
            <w:pPr>
              <w:jc w:val="center"/>
            </w:pPr>
            <w:r>
              <w:rPr>
                <w:b w:val="false"/>
                <w:bCs w:val="false"/>
                <w:sz w:val="18"/>
                <w:szCs w:val="18"/>
              </w:rPr>
              <w:t xml:space="preserve">0,00</w:t>
            </w:r>
          </w:p>
        </w:tc>
        <w:tc>
          <w:tcPr>
            <w:tcW w:type="dxa" w:w="1250"/>
            <w:tcMar>
              <w:top w:type="dxa" w:w="60"/>
              <w:left w:type="dxa" w:w="100"/>
              <w:bottom w:type="dxa" w:w="60"/>
              <w:right w:type="dxa" w:w="100"/>
            </w:tcMar>
          </w:tcPr>
          <w:p>
            <w:pPr>
              <w:jc w:val="center"/>
            </w:pPr>
            <w:r>
              <w:rPr>
                <w:b w:val="false"/>
                <w:bCs w:val="false"/>
                <w:sz w:val="18"/>
                <w:szCs w:val="18"/>
              </w:rPr>
              <w:t xml:space="preserve">0,77</w:t>
            </w:r>
          </w:p>
        </w:tc>
        <w:tc>
          <w:tcPr>
            <w:tcW w:type="dxa" w:w="1250"/>
            <w:tcMar>
              <w:top w:type="dxa" w:w="60"/>
              <w:left w:type="dxa" w:w="100"/>
              <w:bottom w:type="dxa" w:w="60"/>
              <w:right w:type="dxa" w:w="100"/>
            </w:tcMar>
          </w:tcPr>
          <w:p>
            <w:pPr>
              <w:jc w:val="center"/>
            </w:pPr>
            <w:r>
              <w:rPr>
                <w:b w:val="false"/>
                <w:bCs w:val="false"/>
                <w:sz w:val="18"/>
                <w:szCs w:val="18"/>
              </w:rPr>
              <w:t xml:space="preserve">2,31</w:t>
            </w:r>
          </w:p>
        </w:tc>
        <w:tc>
          <w:tcPr>
            <w:tcW w:type="dxa" w:w="1250"/>
            <w:tcMar>
              <w:top w:type="dxa" w:w="60"/>
              <w:left w:type="dxa" w:w="100"/>
              <w:bottom w:type="dxa" w:w="60"/>
              <w:right w:type="dxa" w:w="100"/>
            </w:tcMar>
          </w:tcPr>
          <w:p>
            <w:pPr>
              <w:jc w:val="center"/>
            </w:pPr>
            <w:r>
              <w:rPr>
                <w:b w:val="false"/>
                <w:bCs w:val="false"/>
                <w:sz w:val="18"/>
                <w:szCs w:val="18"/>
              </w:rPr>
              <w:t xml:space="preserve">1,15</w:t>
            </w:r>
          </w:p>
        </w:tc>
        <w:tc>
          <w:tcPr>
            <w:tcW w:type="dxa" w:w="1850"/>
            <w:tcMar>
              <w:top w:type="dxa" w:w="60"/>
              <w:left w:type="dxa" w:w="100"/>
              <w:bottom w:type="dxa" w:w="60"/>
              <w:right w:type="dxa" w:w="100"/>
            </w:tcMar>
          </w:tcPr>
          <w:p>
            <w:pPr>
              <w:jc w:val="center"/>
            </w:pPr>
            <w:r>
              <w:rPr>
                <w:b w:val="false"/>
                <w:bCs w:val="false"/>
                <w:sz w:val="18"/>
                <w:szCs w:val="18"/>
              </w:rPr>
              <w:t xml:space="preserve">5,00</w:t>
            </w:r>
          </w:p>
        </w:tc>
      </w:tr>
    </w:tbl>
    <w:p>
      <w:pPr>
        <w:spacing w:after="160"/>
      </w:pPr>
    </w:p>
    <w:p>
      <w:pPr>
        <w:pStyle w:val="ListParagraph"/>
        <w:numPr>
          <w:ilvl w:val="0"/>
          <w:numId w:val="1"/>
        </w:numPr>
        <w:spacing w:after="120"/>
      </w:pPr>
      <w:r>
        <w:rPr>
          <w:b/>
          <w:bCs/>
        </w:rPr>
        <w:t xml:space="preserve">S11.1 — Grilla habilitada: </w:t>
      </w:r>
      <w:r>
        <w:t xml:space="preserve">G11, G12 y G13 pasan, y C11.a, b, c, f(i) y f(ii) se cumplen. v7.7-c hereda M = 40 por dos razones declaradas: mínimo desvío esperado en el nivel alto — el nivel cuya habilitación motiva este experimento — y menor costo (+60 % de la porción de GTs frente a +100 %). Se registra explícitamente que M = 50 tiene menor desvío estructural agregado (5,00 pp frente a 7,38) y gana en los tres niveles bajos: la elección de M = 40 es una priorización declarada del nivel alto y del costo, no una dominancia sobre toda la grilla.</w:t>
      </w:r>
    </w:p>
    <w:p>
      <w:pPr>
        <w:pStyle w:val="ListParagraph"/>
        <w:numPr>
          <w:ilvl w:val="0"/>
          <w:numId w:val="1"/>
        </w:numPr>
        <w:spacing w:after="120"/>
      </w:pPr>
      <w:r>
        <w:rPr>
          <w:b/>
          <w:bCs/>
        </w:rPr>
        <w:t xml:space="preserve">S11.2 — Separación con degradación: </w:t>
      </w:r>
      <w:r>
        <w:t xml:space="preserve">G11 pasa y C11.a se cumple, pero C11.b, C11.c, C11.f(i) o C11.f(ii) fallan en algún M. Trade-off documentado (nota técnica si amerita); v7.7-c continúa con M = 25 y grilla de cuatro umbrales declarada.</w:t>
      </w:r>
    </w:p>
    <w:p>
      <w:pPr>
        <w:pStyle w:val="ListParagraph"/>
        <w:numPr>
          <w:ilvl w:val="0"/>
          <w:numId w:val="1"/>
        </w:numPr>
        <w:spacing w:after="120"/>
      </w:pPr>
      <w:r>
        <w:rPr>
          <w:b/>
          <w:bCs/>
        </w:rPr>
        <w:t xml:space="preserve">S11.3 — Anomalía: </w:t>
      </w:r>
      <w:r>
        <w:t xml:space="preserve">G11, G12 o G13 falla, o las coberturas caen lejos de los esperados. Alto e investigación; nada avanza.</w:t>
      </w:r>
    </w:p>
    <w:p>
      <w:pPr>
        <w:pStyle w:val="Heading1"/>
        <w:spacing w:after="140" w:before="280"/>
      </w:pPr>
      <w:r>
        <w:t xml:space="preserve">5. Análisis Secundario Prerregistrado (sin cómputo nuevo)</w:t>
      </w:r>
    </w:p>
    <w:p>
      <w:pPr>
        <w:spacing w:after="120"/>
      </w:pPr>
      <w:r>
        <w:t xml:space="preserve">Hipótesis de densidades relativas para el empeoramiento del control con N (Informe v7.7-a § 4.2), sobre la table_long.csv existente. Exploratorio, no vinculante, sin veredicto.</w:t>
      </w:r>
    </w:p>
    <w:p>
      <w:pPr>
        <w:pStyle w:val="Heading1"/>
        <w:spacing w:after="140" w:before="280"/>
      </w:pPr>
      <w:r>
        <w:t xml:space="preserve">6. Ejecución y Presupuesto</w:t>
      </w:r>
    </w:p>
    <w:p>
      <w:pPr>
        <w:spacing w:after="120"/>
      </w:pPr>
      <w:r>
        <w:t xml:space="preserve">Runner de checkpoints con candado de mount; ckpt_b_m{25,40,50}/ y partial_b_m{M}.pkl en MyDrive/mtps_c/; módulo común v7.7-b derivado del congelado con diff mínimo declarado (la puerta G11 es su verificación); consolidador propio con G11 como primer paso. Presupuesto anclado en tiempo medido del stage 1 real con N = 50 (verificado en NA-01 § 4), no en extrapolación: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900"/>
        <w:gridCol w:w="2200"/>
      </w:tblGrid>
      <w:tr>
        <w:tc>
          <w:tcPr>
            <w:tcW w:type="dxa" w:w="1700"/>
            <w:shd w:fill="E8E8E8" w:val="clear"/>
            <w:tcMar>
              <w:top w:type="dxa" w:w="60"/>
              <w:left w:type="dxa" w:w="100"/>
              <w:bottom w:type="dxa" w:w="60"/>
              <w:right w:type="dxa" w:w="100"/>
            </w:tcMar>
          </w:tcPr>
          <w:p>
            <w:pPr>
              <w:jc w:val="center"/>
            </w:pPr>
            <w:r>
              <w:rPr>
                <w:b/>
                <w:bCs/>
                <w:sz w:val="18"/>
                <w:szCs w:val="18"/>
              </w:rPr>
              <w:t xml:space="preserve">Brazo</w:t>
            </w:r>
          </w:p>
        </w:tc>
        <w:tc>
          <w:tcPr>
            <w:tcW w:type="dxa" w:w="2200"/>
            <w:shd w:fill="E8E8E8" w:val="clear"/>
            <w:tcMar>
              <w:top w:type="dxa" w:w="60"/>
              <w:left w:type="dxa" w:w="100"/>
              <w:bottom w:type="dxa" w:w="60"/>
              <w:right w:type="dxa" w:w="100"/>
            </w:tcMar>
          </w:tcPr>
          <w:p>
            <w:pPr>
              <w:jc w:val="center"/>
            </w:pPr>
            <w:r>
              <w:rPr>
                <w:b/>
                <w:bCs/>
                <w:sz w:val="18"/>
                <w:szCs w:val="18"/>
              </w:rPr>
              <w:t xml:space="preserve">M</w:t>
            </w:r>
          </w:p>
        </w:tc>
        <w:tc>
          <w:tcPr>
            <w:tcW w:type="dxa" w:w="2900"/>
            <w:shd w:fill="E8E8E8" w:val="clear"/>
            <w:tcMar>
              <w:top w:type="dxa" w:w="60"/>
              <w:left w:type="dxa" w:w="100"/>
              <w:bottom w:type="dxa" w:w="60"/>
              <w:right w:type="dxa" w:w="100"/>
            </w:tcMar>
          </w:tcPr>
          <w:p>
            <w:pPr>
              <w:jc w:val="center"/>
            </w:pPr>
            <w:r>
              <w:rPr>
                <w:b/>
                <w:bCs/>
                <w:sz w:val="18"/>
                <w:szCs w:val="18"/>
              </w:rPr>
              <w:t xml:space="preserve">Cómputo estimado</w:t>
            </w:r>
          </w:p>
        </w:tc>
        <w:tc>
          <w:tcPr>
            <w:tcW w:type="dxa" w:w="2200"/>
            <w:shd w:fill="E8E8E8" w:val="clear"/>
            <w:tcMar>
              <w:top w:type="dxa" w:w="60"/>
              <w:left w:type="dxa" w:w="100"/>
              <w:bottom w:type="dxa" w:w="60"/>
              <w:right w:type="dxa" w:w="100"/>
            </w:tcMar>
          </w:tcPr>
          <w:p>
            <w:pPr>
              <w:jc w:val="center"/>
            </w:pPr>
            <w:r>
              <w:rPr>
                <w:b/>
                <w:bCs/>
                <w:sz w:val="18"/>
                <w:szCs w:val="18"/>
              </w:rPr>
              <w:t xml:space="preserve">Subtotal</w:t>
            </w:r>
          </w:p>
        </w:tc>
      </w:tr>
      <w:tr>
        <w:tc>
          <w:tcPr>
            <w:tcW w:type="dxa" w:w="1700"/>
            <w:tcMar>
              <w:top w:type="dxa" w:w="60"/>
              <w:left w:type="dxa" w:w="100"/>
              <w:bottom w:type="dxa" w:w="60"/>
              <w:right w:type="dxa" w:w="100"/>
            </w:tcMar>
          </w:tcPr>
          <w:p>
            <w:pPr>
              <w:jc w:val="center"/>
            </w:pPr>
            <w:r>
              <w:rPr>
                <w:b w:val="false"/>
                <w:bCs w:val="false"/>
                <w:sz w:val="18"/>
                <w:szCs w:val="18"/>
              </w:rPr>
              <w:t xml:space="preserve">Principal</w:t>
            </w:r>
          </w:p>
        </w:tc>
        <w:tc>
          <w:tcPr>
            <w:tcW w:type="dxa" w:w="2200"/>
            <w:tcMar>
              <w:top w:type="dxa" w:w="60"/>
              <w:left w:type="dxa" w:w="100"/>
              <w:bottom w:type="dxa" w:w="60"/>
              <w:right w:type="dxa" w:w="100"/>
            </w:tcMar>
          </w:tcPr>
          <w:p>
            <w:pPr>
              <w:jc w:val="center"/>
            </w:pPr>
            <w:r>
              <w:rPr>
                <w:b w:val="false"/>
                <w:bCs w:val="false"/>
                <w:sz w:val="18"/>
                <w:szCs w:val="18"/>
              </w:rPr>
              <w:t xml:space="preserve">M = 25 / 40 / 50</w:t>
            </w:r>
          </w:p>
        </w:tc>
        <w:tc>
          <w:tcPr>
            <w:tcW w:type="dxa" w:w="2900"/>
            <w:tcMar>
              <w:top w:type="dxa" w:w="60"/>
              <w:left w:type="dxa" w:w="100"/>
              <w:bottom w:type="dxa" w:w="60"/>
              <w:right w:type="dxa" w:w="100"/>
            </w:tcMar>
          </w:tcPr>
          <w:p>
            <w:pPr>
              <w:jc w:val="center"/>
            </w:pPr>
            <w:r>
              <w:rPr>
                <w:b w:val="false"/>
                <w:bCs w:val="false"/>
                <w:sz w:val="18"/>
                <w:szCs w:val="18"/>
              </w:rPr>
              <w:t xml:space="preserve">≈ 197 + 236 + 262 min</w:t>
            </w:r>
          </w:p>
        </w:tc>
        <w:tc>
          <w:tcPr>
            <w:tcW w:type="dxa" w:w="2200"/>
            <w:tcMar>
              <w:top w:type="dxa" w:w="60"/>
              <w:left w:type="dxa" w:w="100"/>
              <w:bottom w:type="dxa" w:w="60"/>
              <w:right w:type="dxa" w:w="100"/>
            </w:tcMar>
          </w:tcPr>
          <w:p>
            <w:pPr>
              <w:jc w:val="center"/>
            </w:pPr>
            <w:r>
              <w:rPr>
                <w:b w:val="false"/>
                <w:bCs w:val="false"/>
                <w:sz w:val="18"/>
                <w:szCs w:val="18"/>
              </w:rPr>
              <w:t xml:space="preserve">≈ 11,6 h</w:t>
            </w:r>
          </w:p>
        </w:tc>
      </w:tr>
      <w:tr>
        <w:tc>
          <w:tcPr>
            <w:tcW w:type="dxa" w:w="1700"/>
            <w:tcMar>
              <w:top w:type="dxa" w:w="60"/>
              <w:left w:type="dxa" w:w="100"/>
              <w:bottom w:type="dxa" w:w="60"/>
              <w:right w:type="dxa" w:w="100"/>
            </w:tcMar>
          </w:tcPr>
          <w:p>
            <w:pPr>
              <w:jc w:val="center"/>
            </w:pPr>
            <w:r>
              <w:rPr>
                <w:b w:val="false"/>
                <w:bCs w:val="false"/>
                <w:sz w:val="18"/>
                <w:szCs w:val="18"/>
              </w:rPr>
              <w:t xml:space="preserve">Control</w:t>
            </w:r>
          </w:p>
        </w:tc>
        <w:tc>
          <w:tcPr>
            <w:tcW w:type="dxa" w:w="2200"/>
            <w:tcMar>
              <w:top w:type="dxa" w:w="60"/>
              <w:left w:type="dxa" w:w="100"/>
              <w:bottom w:type="dxa" w:w="60"/>
              <w:right w:type="dxa" w:w="100"/>
            </w:tcMar>
          </w:tcPr>
          <w:p>
            <w:pPr>
              <w:jc w:val="center"/>
            </w:pPr>
            <w:r>
              <w:rPr>
                <w:b w:val="false"/>
                <w:bCs w:val="false"/>
                <w:sz w:val="18"/>
                <w:szCs w:val="18"/>
              </w:rPr>
              <w:t xml:space="preserve">M = 25 / 50</w:t>
            </w:r>
          </w:p>
        </w:tc>
        <w:tc>
          <w:tcPr>
            <w:tcW w:type="dxa" w:w="2900"/>
            <w:tcMar>
              <w:top w:type="dxa" w:w="60"/>
              <w:left w:type="dxa" w:w="100"/>
              <w:bottom w:type="dxa" w:w="60"/>
              <w:right w:type="dxa" w:w="100"/>
            </w:tcMar>
          </w:tcPr>
          <w:p>
            <w:pPr>
              <w:jc w:val="center"/>
            </w:pPr>
            <w:r>
              <w:rPr>
                <w:b w:val="false"/>
                <w:bCs w:val="false"/>
                <w:sz w:val="18"/>
                <w:szCs w:val="18"/>
              </w:rPr>
              <w:t xml:space="preserve">≈ 197 + 262 min</w:t>
            </w:r>
          </w:p>
        </w:tc>
        <w:tc>
          <w:tcPr>
            <w:tcW w:type="dxa" w:w="2200"/>
            <w:tcMar>
              <w:top w:type="dxa" w:w="60"/>
              <w:left w:type="dxa" w:w="100"/>
              <w:bottom w:type="dxa" w:w="60"/>
              <w:right w:type="dxa" w:w="100"/>
            </w:tcMar>
          </w:tcPr>
          <w:p>
            <w:pPr>
              <w:jc w:val="center"/>
            </w:pPr>
            <w:r>
              <w:rPr>
                <w:b w:val="false"/>
                <w:bCs w:val="false"/>
                <w:sz w:val="18"/>
                <w:szCs w:val="18"/>
              </w:rPr>
              <w:t xml:space="preserve">≈ 7,7 h</w:t>
            </w:r>
          </w:p>
        </w:tc>
      </w:tr>
      <w:tr>
        <w:tc>
          <w:tcPr>
            <w:tcW w:type="dxa" w:w="1700"/>
            <w:tcMar>
              <w:top w:type="dxa" w:w="60"/>
              <w:left w:type="dxa" w:w="100"/>
              <w:bottom w:type="dxa" w:w="60"/>
              <w:right w:type="dxa" w:w="100"/>
            </w:tcMar>
          </w:tcPr>
          <w:p>
            <w:pPr>
              <w:jc w:val="center"/>
            </w:pPr>
            <w:r>
              <w:rPr>
                <w:b w:val="false"/>
                <w:bCs w:val="false"/>
                <w:sz w:val="18"/>
                <w:szCs w:val="18"/>
              </w:rPr>
              <w:t xml:space="preserve">Total</w:t>
            </w:r>
          </w:p>
        </w:tc>
        <w:tc>
          <w:tcPr>
            <w:tcW w:type="dxa" w:w="2200"/>
            <w:tcMar>
              <w:top w:type="dxa" w:w="60"/>
              <w:left w:type="dxa" w:w="100"/>
              <w:bottom w:type="dxa" w:w="60"/>
              <w:right w:type="dxa" w:w="100"/>
            </w:tcMar>
          </w:tcPr>
          <w:p>
            <w:pPr>
              <w:jc w:val="center"/>
            </w:pPr>
            <w:r>
              <w:rPr>
                <w:b w:val="false"/>
                <w:bCs w:val="false"/>
                <w:sz w:val="18"/>
                <w:szCs w:val="18"/>
              </w:rPr>
              <w:t xml:space="preserve">—</w:t>
            </w:r>
          </w:p>
        </w:tc>
        <w:tc>
          <w:tcPr>
            <w:tcW w:type="dxa" w:w="2900"/>
            <w:tcMar>
              <w:top w:type="dxa" w:w="60"/>
              <w:left w:type="dxa" w:w="100"/>
              <w:bottom w:type="dxa" w:w="60"/>
              <w:right w:type="dxa" w:w="100"/>
            </w:tcMar>
          </w:tcPr>
          <w:p>
            <w:pPr>
              <w:jc w:val="center"/>
            </w:pPr>
            <w:r>
              <w:rPr>
                <w:b w:val="false"/>
                <w:bCs w:val="false"/>
                <w:sz w:val="18"/>
                <w:szCs w:val="18"/>
              </w:rPr>
              <w:t xml:space="preserve">≈ 1.154 min</w:t>
            </w:r>
          </w:p>
        </w:tc>
        <w:tc>
          <w:tcPr>
            <w:tcW w:type="dxa" w:w="2200"/>
            <w:tcMar>
              <w:top w:type="dxa" w:w="60"/>
              <w:left w:type="dxa" w:w="100"/>
              <w:bottom w:type="dxa" w:w="60"/>
              <w:right w:type="dxa" w:w="100"/>
            </w:tcMar>
          </w:tcPr>
          <w:p>
            <w:pPr>
              <w:jc w:val="center"/>
            </w:pPr>
            <w:r>
              <w:rPr>
                <w:b w:val="false"/>
                <w:bCs w:val="false"/>
                <w:sz w:val="18"/>
                <w:szCs w:val="18"/>
              </w:rPr>
              <w:t xml:space="preserve">≈ 19,2 h (14–24 h, ±25 %)</w:t>
            </w:r>
          </w:p>
        </w:tc>
      </w:tr>
    </w:tbl>
    <w:p>
      <w:pPr>
        <w:spacing w:after="160"/>
      </w:pPr>
    </w:p>
    <w:p>
      <w:pPr>
        <w:spacing w:after="120"/>
      </w:pPr>
      <w:r>
        <w:t xml:space="preserve">La familia encuentro_violento del OOD lejano volverá a concentrar cerca del 80 % del tiempo (anexo tiempos_por_config.csv). 2–3 sesiones; cada par (brazo, M) reanudable de forma independiente.</w:t>
      </w:r>
    </w:p>
    <w:p>
      <w:pPr>
        <w:pStyle w:val="Heading1"/>
        <w:spacing w:after="140" w:before="280"/>
      </w:pPr>
      <w:r>
        <w:t xml:space="preserve">7. Registro de Enmiendas, Verificaciones y Estado</w:t>
      </w:r>
    </w:p>
    <w:p>
      <w:pPr>
        <w:pStyle w:val="Heading2"/>
        <w:spacing w:after="140" w:before="280"/>
      </w:pPr>
      <w:r>
        <w:t xml:space="preserve">7.1 Enmiendas de NA-01</w:t>
      </w:r>
    </w:p>
    <w:p>
      <w:pPr>
        <w:pStyle w:val="ListParagraph"/>
        <w:numPr>
          <w:ilvl w:val="0"/>
          <w:numId w:val="1"/>
        </w:numPr>
        <w:spacing w:after="120"/>
      </w:pPr>
      <w:r>
        <w:rPr>
          <w:b/>
          <w:bCs/>
        </w:rPr>
        <w:t xml:space="preserve">E1 adoptada (era bloqueante): </w:t>
      </w:r>
      <w:r>
        <w:t xml:space="preserve">criterio de agudeza C11.f. La primera adopción declaró imposible calibrar el umbral desde v7.7-a; la segunda ronda corrigió ese sobre-reclamo y el umbral quedó vinculante y prerregistrado, con su procedencia y su dependencia de N declaradas en la § 3.</w:t>
      </w:r>
    </w:p>
    <w:p>
      <w:pPr>
        <w:pStyle w:val="ListParagraph"/>
        <w:numPr>
          <w:ilvl w:val="0"/>
          <w:numId w:val="1"/>
        </w:numPr>
        <w:spacing w:after="120"/>
      </w:pPr>
      <w:r>
        <w:rPr>
          <w:b/>
          <w:bCs/>
        </w:rPr>
        <w:t xml:space="preserve">E2 adoptada: </w:t>
      </w:r>
      <w:r>
        <w:t xml:space="preserve">fundamentación de D5 corregida con la tabla de desvíos; la decisión M = 40 se mantiene como priorización declarada.</w:t>
      </w:r>
    </w:p>
    <w:p>
      <w:pPr>
        <w:pStyle w:val="ListParagraph"/>
        <w:numPr>
          <w:ilvl w:val="0"/>
          <w:numId w:val="1"/>
        </w:numPr>
        <w:spacing w:after="120"/>
      </w:pPr>
      <w:r>
        <w:rPr>
          <w:b/>
          <w:bCs/>
        </w:rPr>
        <w:t xml:space="preserve">E3 adoptada y ejecutada: </w:t>
      </w:r>
      <w:r>
        <w:t xml:space="preserve">bootstrap sobre configuraciones, con las cifras corregidas en la cuarta ronda (§ 3, C11.b).</w:t>
      </w:r>
    </w:p>
    <w:p>
      <w:pPr>
        <w:pStyle w:val="ListParagraph"/>
        <w:numPr>
          <w:ilvl w:val="0"/>
          <w:numId w:val="1"/>
        </w:numPr>
        <w:spacing w:after="120"/>
      </w:pPr>
      <w:r>
        <w:rPr>
          <w:b/>
          <w:bCs/>
        </w:rPr>
        <w:t xml:space="preserve">E4 adoptada: </w:t>
      </w:r>
      <w:r>
        <w:t xml:space="preserve">G11 en tres niveles con tolerancia 1e-12, precedente de la puerta M1 del financiero.</w:t>
      </w:r>
    </w:p>
    <w:p>
      <w:pPr>
        <w:pStyle w:val="ListParagraph"/>
        <w:numPr>
          <w:ilvl w:val="0"/>
          <w:numId w:val="1"/>
        </w:numPr>
        <w:spacing w:after="120"/>
      </w:pPr>
      <w:r>
        <w:rPr>
          <w:b/>
          <w:bCs/>
        </w:rPr>
        <w:t xml:space="preserve">E5 adoptada, resuelta contra el código y confirmada contra los datos: </w:t>
      </w:r>
      <w:r>
        <w:t xml:space="preserve">el control evaluó los M completos en v7.7-a (25); v7.7-b reproduce ese comportamiento y lo declara.</w:t>
      </w:r>
    </w:p>
    <w:p>
      <w:pPr>
        <w:pStyle w:val="ListParagraph"/>
        <w:numPr>
          <w:ilvl w:val="0"/>
          <w:numId w:val="1"/>
        </w:numPr>
        <w:spacing w:after="120"/>
      </w:pPr>
      <w:r>
        <w:rPr>
          <w:b/>
          <w:bCs/>
        </w:rPr>
        <w:t xml:space="preserve">Observación menor de NA-01 § 3 adoptada: </w:t>
      </w:r>
      <w:r>
        <w:t xml:space="preserve">nota de honestidad de § 2.2 ajustada.</w:t>
      </w:r>
    </w:p>
    <w:p>
      <w:pPr>
        <w:pStyle w:val="ListParagraph"/>
        <w:numPr>
          <w:ilvl w:val="0"/>
          <w:numId w:val="1"/>
        </w:numPr>
        <w:spacing w:after="120"/>
      </w:pPr>
      <w:r>
        <w:rPr>
          <w:b/>
          <w:bCs/>
        </w:rPr>
        <w:t xml:space="preserve">Quinta ronda de auditoría — puerta G12: </w:t>
      </w:r>
      <w:r>
        <w:t xml:space="preserve">la revisión del acta señaló que la cobertura de G11 se agota en el camino heredado, porque en M = 25 la enmienda de método es un no-op. La corrección se incorpora como puerta en la § 3 y no como condición de acta, para mantener la regla del programa de que toda puerta que puede abortar una corrida vive en el prerregistro y no en el documento que lo congela.</w:t>
      </w:r>
    </w:p>
    <w:p>
      <w:pPr>
        <w:pStyle w:val="ListParagraph"/>
        <w:numPr>
          <w:ilvl w:val="0"/>
          <w:numId w:val="1"/>
        </w:numPr>
        <w:spacing w:after="120"/>
      </w:pPr>
      <w:r>
        <w:rPr>
          <w:b/>
          <w:bCs/>
        </w:rPr>
        <w:t xml:space="preserve">Séptima ronda de auditoría — puerta G13: </w:t>
      </w:r>
      <w:r>
        <w:t xml:space="preserve">la revisión del acta señaló que ninguna puerta verificaba que los cinco pares (brazo, M) corrieran sobre el mismo dataset. Se incorpora como puerta en la § 3, y no como condición de acta, por la misma regla que rigió para G12. La segunda observación de esa ronda — que los SHA-256 del módulo común, del consolidador y del artefacto de diff deben existir y quedar registrados antes de autorizar la corrida — sí corresponde al acta, porque es condición de autorización y no puerta de ejecución, y porque esos artefactos no existen al momento de congelar este prerregistro.</w:t>
      </w:r>
    </w:p>
    <w:p>
      <w:pPr>
        <w:pStyle w:val="ListParagraph"/>
        <w:numPr>
          <w:ilvl w:val="0"/>
          <w:numId w:val="1"/>
        </w:numPr>
        <w:spacing w:after="120"/>
      </w:pPr>
      <w:r>
        <w:rPr>
          <w:b/>
          <w:bCs/>
        </w:rPr>
        <w:t xml:space="preserve">Sexta ronda de auditoría — dos correcciones: </w:t>
      </w:r>
      <w:r>
        <w:t xml:space="preserve">(i) la § 7.3 del Borrador 6 conservaba una referencia interna al Borrador 5 al describir la resolución del incidente de numeración, error introducido al derivar esa versión de la anterior y detectado por el segundo auditor; queda corregido, y se hace constar que el fallo ocurrió justamente en el párrafo que documenta la higiene de versiones, lo que refuerza la medida preventiva del SHA-256 por emisión. (ii) G12 se suma a la condición de S11.1 además de la de S11.3, por el mismo motivo que llevó a incorporar C11.f(ii) a los escenarios en la tercera ronda: si una puerta existe, el escenario favorable debe declarar explícitamente que ambas pasaron.</w:t>
      </w:r>
    </w:p>
    <w:p>
      <w:pPr>
        <w:pStyle w:val="Heading2"/>
        <w:spacing w:after="140" w:before="280"/>
      </w:pPr>
      <w:r>
        <w:t xml:space="preserve">7.2 Estado de las verificaciones independientes</w:t>
      </w:r>
    </w:p>
    <w:p>
      <w:pPr>
        <w:spacing w:after="120"/>
      </w:pPr>
      <w:r>
        <w:t xml:space="preserve">Las tres verificaciones realizadas por el redactor de los borradores anteriores fueron reproducidas en la cuarta ronda de auditoría por una implementación distinta, sobre la table_long.csv de v7.7-a:</w:t>
      </w:r>
    </w:p>
    <w:p>
      <w:pPr>
        <w:pStyle w:val="ListParagraph"/>
        <w:numPr>
          <w:ilvl w:val="0"/>
          <w:numId w:val="1"/>
        </w:numPr>
        <w:spacing w:after="120"/>
      </w:pPr>
      <w:r>
        <w:t xml:space="preserve">Cociente de referencia de C11.f(ii): 1,0254 a N = 50, coincidencia exacta.</w:t>
      </w:r>
    </w:p>
    <w:p>
      <w:pPr>
        <w:pStyle w:val="ListParagraph"/>
        <w:numPr>
          <w:ilvl w:val="0"/>
          <w:numId w:val="1"/>
        </w:numPr>
        <w:spacing w:after="120"/>
      </w:pPr>
      <w:r>
        <w:t xml:space="preserve">Bootstrap de E3: SE = 0,537 / 0,530 / 0,450 / 0,345 / 0,345 pp y semiancho máximo 1,060 pp, coincidentes con lo declarado salvo las tres correcciones ya aplicadas en la § 3.</w:t>
      </w:r>
    </w:p>
    <w:p>
      <w:pPr>
        <w:pStyle w:val="ListParagraph"/>
        <w:numPr>
          <w:ilvl w:val="0"/>
          <w:numId w:val="1"/>
        </w:numPr>
        <w:spacing w:after="120"/>
      </w:pPr>
      <w:r>
        <w:t xml:space="preserve">Comportamiento del control de E5: confirmado sin abrir el código, por la granularidad de cov_emp.</w:t>
      </w:r>
    </w:p>
    <w:p>
      <w:pPr>
        <w:spacing w:after="120"/>
      </w:pPr>
      <w:r>
        <w:t xml:space="preserve">Se corrige además una atribución de los borradores anteriores: la coincidencia del cociente 1,0254 entre dos ventanas del mismo redactor es reproducibilidad interna, no verificación cruzada. La verificación cruzada es la de la cuarta ronda, realizada con otra implementación y por otro revisor. Queda pendiente, conforme a la regla de alternancia, la revisión de este borrador por el segundo auditor, que no ha participado en su redacción.</w:t>
      </w:r>
    </w:p>
    <w:p>
      <w:pPr>
        <w:pStyle w:val="Heading2"/>
        <w:spacing w:after="140" w:before="280"/>
      </w:pPr>
      <w:r>
        <w:t xml:space="preserve">7.3 Incidente de numeración de versiones</w:t>
      </w:r>
    </w:p>
    <w:p>
      <w:pPr>
        <w:spacing w:after="120"/>
      </w:pPr>
      <w:r>
        <w:t xml:space="preserve">El archivo entregado como Borrador 3 se identifica internamente como «BORRADOR 2 PARA AUDITORÍA» en portada y en el cierre de su § 7, de modo que en el registro interno del programa no existe ningún documento que se declare Borrador 3. La causa está registrada: dos ventanas de trabajo del mismo redactor aplicaron la misma ronda de correcciones sobre los mismos archivos, y una de ellas continuó la numeración por fuera del documento.</w:t>
      </w:r>
    </w:p>
    <w:p>
      <w:pPr>
        <w:spacing w:after="120"/>
      </w:pPr>
      <w:r>
        <w:t xml:space="preserve">Resolución adoptada en el Borrador 5 y preservada en este Borrador 8: la numeración externa se conserva; se declara que el Borrador 3 corresponde al archivo rotulado internamente como Borrador 2 en su segunda emisión, y que no hay contenido perdido entre ambos. No se renumera hacia atrás.</w:t>
      </w:r>
    </w:p>
    <w:p>
      <w:pPr>
        <w:spacing w:after="120"/>
      </w:pPr>
      <w:r>
        <w:t xml:space="preserve">Medida preventiva recomendada para el programa, análoga a la del Acta 01 del MTPS financiero: registrar el SHA-256 de cada versión en el pie del documento al emitirla, y no corregir en sitio un número ya emitido. El precedente que la motiva no es solo este incidente: la NT-01 registró duplicados byte a byte de su versión original y una corrección en sitio de la revisión 3 al aparecer el PDF de Vovk 2012, de modo que hoy conviven dos contenidos distintos bajo el mismo número de revisión, separados únicamente por la constancia de que la primera emisión no había circulado.</w:t>
      </w:r>
    </w:p>
    <w:p>
      <w:pPr>
        <w:pStyle w:val="Heading2"/>
        <w:spacing w:after="140" w:before="280"/>
      </w:pPr>
      <w:r>
        <w:t xml:space="preserve">7.4 Estado</w:t>
      </w:r>
    </w:p>
    <w:p>
      <w:pPr>
        <w:spacing w:after="120"/>
      </w:pPr>
      <w:r>
        <w:t xml:space="preserve">Este documento queda en estado BORRADOR 8. Pendientes para el congelamiento: revisión de esta versión por el segundo auditor y fallo final de Oaui sobre D1–D5 y las enmiendas. El congelamiento formal con acta breve es la única autorización de corrida.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de Ruta MTPS-C v7.7-b — Borrador 8</dc:title>
  <dc:creator>Programa MTPS-C</dc:creator>
  <cp:lastModifiedBy>Un-named</cp:lastModifiedBy>
  <cp:revision>1</cp:revision>
  <dcterms:created xsi:type="dcterms:W3CDTF">2026-08-12T04:57:59.495Z</dcterms:created>
  <dcterms:modified xsi:type="dcterms:W3CDTF">2026-08-12T04:57:59.495Z</dcterms:modified>
</cp:coreProperties>
</file>

<file path=docProps/custom.xml><?xml version="1.0" encoding="utf-8"?>
<Properties xmlns="http://schemas.openxmlformats.org/officeDocument/2006/custom-properties" xmlns:vt="http://schemas.openxmlformats.org/officeDocument/2006/docPropsVTypes"/>
</file>