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Hoja de Ruta MTPS-C v7.7-c</w:t>
      </w:r>
    </w:p>
    <w:p>
      <w:pPr>
        <w:spacing w:after="160"/>
        <w:jc w:val="center"/>
      </w:pPr>
      <w:r>
        <w:rPr>
          <w:i/>
          <w:iCs/>
          <w:sz w:val="24"/>
          <w:szCs w:val="24"/>
        </w:rPr>
        <w:t xml:space="preserve">Horizonte útil — Profundidad temporal</w:t>
      </w:r>
    </w:p>
    <w:p>
      <w:pPr>
        <w:spacing w:after="160"/>
        <w:jc w:val="center"/>
      </w:pPr>
      <w:r>
        <w:rPr>
          <w:b/>
          <w:bCs/>
          <w:sz w:val="22"/>
          <w:szCs w:val="22"/>
        </w:rPr>
        <w:t xml:space="preserve">BORRADOR 5 — VERSIÓN PROPUESTA PARA CONGELAMIENTO</w:t>
      </w:r>
    </w:p>
    <w:p>
      <w:pPr>
        <w:spacing w:after="120"/>
      </w:pPr>
      <w:r>
        <w:t xml:space="preserve">Las decisiones de diseño D1–D5 cuentan con fallo favorable del segundo auditor y quedan pendientes del fallo del responsable del programa. Esta versión incorpora las correcciones de dos rondas de auditoría: en la primera, el criterio estructural se reformuló para evitar circularidad, la puerta de regresión dejó de tener alcance ambiguo y el brazo de control se eliminó de la etapa; en la segunda, se precisó el alcance de lo que significa cruzar el criterio estructural; en la tercera, se declaró el papel real del valor intermedio de la variable, se añadió la puerta que aprovecha su redundancia y se registró la predicción prerregistrada de la etapa; y en la cuarta, se acotó por anticipado el alcance de esa puerta para que la frontera de integración no pueda producir un aborto falso. El segundo auditor emitió fallo favorable sobre D1–D5 y sobre el delta del Borrador 3. El documento conserva su rótulo de borrador conforme a la convención del programa: lo que congela un prerregistro es su acta, no su título. Ninguna corrida queda autorizada por este documento. Redacción: auditor preventivo; la revisión de esta versión, acotable al delta, corresponde al segundo auditor.</w:t>
      </w:r>
    </w:p>
    <w:p>
      <w:pPr>
        <w:spacing w:after="60" w:before="120"/>
        <w:jc w:val="center"/>
      </w:pPr>
      <w:r>
        <w:rPr>
          <w:b/>
          <w:bCs/>
          <w:sz w:val="22"/>
          <w:szCs w:val="22"/>
        </w:rPr>
        <w:t xml:space="preserve">Joaquín Peñafiel</w:t>
      </w:r>
    </w:p>
    <w:p>
      <w:pPr>
        <w:spacing w:after="60"/>
        <w:jc w:val="center"/>
      </w:pPr>
      <w:r>
        <w:rPr>
          <w:sz w:val="20"/>
          <w:szCs w:val="20"/>
        </w:rPr>
        <w:t xml:space="preserve">Chile · 13 de septiembre de 2026</w:t>
      </w:r>
    </w:p>
    <w:p>
      <w:pPr>
        <w:spacing w:after="200"/>
        <w:jc w:val="center"/>
      </w:pPr>
      <w:r>
        <w:rPr>
          <w:i/>
          <w:iCs/>
          <w:sz w:val="19"/>
          <w:szCs w:val="19"/>
        </w:rPr>
        <w:t xml:space="preserve">Dependencias: Informe v7.7-b · Acta de Cierre v7.7-b · Acta 01 + Enmienda 01 + Anexo C7 · NT-01 rev. 4 · LIT-00 v1.0 · table_long y table_cells de v7.7-b</w:t>
      </w:r>
    </w:p>
    <w:p>
      <w:pPr>
        <w:pBdr>
          <w:bottom w:val="single" w:color="AAAAAA" w:sz="6"/>
        </w:pBdr>
        <w:spacing w:after="160"/>
      </w:pPr>
    </w:p>
    <w:p>
      <w:pPr>
        <w:pStyle w:val="Heading1"/>
        <w:spacing w:after="140" w:before="280"/>
      </w:pPr>
      <w:r>
        <w:t xml:space="preserve">1. Pregunta y motivación</w:t>
      </w:r>
    </w:p>
    <w:p>
      <w:pPr>
        <w:spacing w:after="120"/>
      </w:pPr>
      <w:r>
        <w:rPr>
          <w:b/>
          <w:bCs/>
        </w:rPr>
        <w:t xml:space="preserve">Pregunta única: </w:t>
      </w:r>
      <w:r>
        <w:t xml:space="preserve">¿hasta qué profundidad temporal el instrumento sigue siendo útil, y cuál de sus propiedades se degrada primero — la calibración, la agudeza de la región, o la representación geométrica de baja dimensión sobre la que descansa el método?</w:t>
      </w:r>
    </w:p>
    <w:p>
      <w:pPr>
        <w:spacing w:after="120"/>
      </w:pPr>
      <w:r>
        <w:t xml:space="preserve">v7.7-a estableció que la calibración es robusta al tamaño del ensemble. v7.7-b habilitó la grilla completa de cinco niveles y fijó M = 40. Ninguno de los dos tocó el horizonte, y el informe de cierre de v7.7-b declara explícitamente que la profundidad temporal útil permanece sin caracterizar. Ese es el objeto de esta etapa.</w:t>
      </w:r>
    </w:p>
    <w:p>
      <w:pPr>
        <w:spacing w:after="120"/>
      </w:pPr>
      <w:r>
        <w:rPr>
          <w:b/>
          <w:bCs/>
        </w:rPr>
        <w:t xml:space="preserve">Inversión de la lógica de escenarios respecto de las etapas anteriores. </w:t>
      </w:r>
      <w:r>
        <w:t xml:space="preserve">En v7.7-a y v7.7-b todos los criterios estaban construidos de modo que cumplirlos fuera el buen resultado. Aquí no. La literatura de predicción conformal equivariante documenta que las regiones conformales crecen hasta volverse poco informativas en horizonte largo, y es esperable que exista un punto donde la cobertura siga siendo válida y la región deje de servir. Encontrar esa frontera ES el resultado buscado; no encontrarla dentro del rango explorado es el resultado incompleto. Los escenarios de la § 4 están redactados en consecuencia.</w:t>
      </w:r>
    </w:p>
    <w:p>
      <w:pPr>
        <w:pStyle w:val="Heading2"/>
        <w:spacing w:after="140" w:before="280"/>
      </w:pPr>
      <w:r>
        <w:t xml:space="preserve">1.1 Base empírica previa (diagnóstico sin cómputo nuevo)</w:t>
      </w:r>
    </w:p>
    <w:p>
      <w:pPr>
        <w:spacing w:after="120"/>
      </w:pPr>
      <w:r>
        <w:t xml:space="preserve">Antes de diseñar esta etapa se analizaron las salidas ya existentes de v7.7-b, que registran cobertura, radio conformal y dimensión efectiva por snapshot. El resultado orienta el diseño y queda registrado aquí como punto de partida, no como resultado de esta etapa.</w:t>
      </w:r>
    </w:p>
    <w:p>
      <w:pPr>
        <w:spacing w:after="16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tblGrid>
      <w:tr>
        <w:tc>
          <w:tcPr>
            <w:tcW w:type="dxa" w:w="1400"/>
            <w:shd w:fill="E8E8E8" w:val="clear"/>
            <w:tcMar>
              <w:top w:type="dxa" w:w="50"/>
              <w:left w:type="dxa" w:w="85"/>
              <w:bottom w:type="dxa" w:w="50"/>
              <w:right w:type="dxa" w:w="85"/>
            </w:tcMar>
          </w:tcPr>
          <w:p>
            <w:pPr>
              <w:jc w:val="center"/>
            </w:pPr>
            <w:r>
              <w:rPr>
                <w:b/>
                <w:bCs/>
                <w:sz w:val="17"/>
                <w:szCs w:val="17"/>
              </w:rPr>
              <w:t xml:space="preserve">Magnitud (M = 40)</w:t>
            </w:r>
          </w:p>
        </w:tc>
        <w:tc>
          <w:tcPr>
            <w:tcW w:type="dxa" w:w="1700"/>
            <w:shd w:fill="E8E8E8" w:val="clear"/>
            <w:tcMar>
              <w:top w:type="dxa" w:w="50"/>
              <w:left w:type="dxa" w:w="85"/>
              <w:bottom w:type="dxa" w:w="50"/>
              <w:right w:type="dxa" w:w="85"/>
            </w:tcMar>
          </w:tcPr>
          <w:p>
            <w:pPr>
              <w:jc w:val="center"/>
            </w:pPr>
            <w:r>
              <w:rPr>
                <w:b/>
                <w:bCs/>
                <w:sz w:val="17"/>
                <w:szCs w:val="17"/>
              </w:rPr>
              <w:t xml:space="preserve">Snapshot 1</w:t>
            </w:r>
          </w:p>
        </w:tc>
        <w:tc>
          <w:tcPr>
            <w:tcW w:type="dxa" w:w="1700"/>
            <w:shd w:fill="E8E8E8" w:val="clear"/>
            <w:tcMar>
              <w:top w:type="dxa" w:w="50"/>
              <w:left w:type="dxa" w:w="85"/>
              <w:bottom w:type="dxa" w:w="50"/>
              <w:right w:type="dxa" w:w="85"/>
            </w:tcMar>
          </w:tcPr>
          <w:p>
            <w:pPr>
              <w:jc w:val="center"/>
            </w:pPr>
            <w:r>
              <w:rPr>
                <w:b/>
                <w:bCs/>
                <w:sz w:val="17"/>
                <w:szCs w:val="17"/>
              </w:rPr>
              <w:t xml:space="preserve">Snapshot 10</w:t>
            </w:r>
          </w:p>
        </w:tc>
        <w:tc>
          <w:tcPr>
            <w:tcW w:type="dxa" w:w="1700"/>
            <w:shd w:fill="E8E8E8" w:val="clear"/>
            <w:tcMar>
              <w:top w:type="dxa" w:w="50"/>
              <w:left w:type="dxa" w:w="85"/>
              <w:bottom w:type="dxa" w:w="50"/>
              <w:right w:type="dxa" w:w="85"/>
            </w:tcMar>
          </w:tcPr>
          <w:p>
            <w:pPr>
              <w:jc w:val="center"/>
            </w:pPr>
            <w:r>
              <w:rPr>
                <w:b/>
                <w:bCs/>
                <w:sz w:val="17"/>
                <w:szCs w:val="17"/>
              </w:rPr>
              <w:t xml:space="preserve">Crecimiento</w:t>
            </w:r>
          </w:p>
        </w:tc>
      </w:tr>
      <w:tr>
        <w:tc>
          <w:tcPr>
            <w:tcW w:type="dxa" w:w="1400"/>
            <w:tcMar>
              <w:top w:type="dxa" w:w="50"/>
              <w:left w:type="dxa" w:w="85"/>
              <w:bottom w:type="dxa" w:w="50"/>
              <w:right w:type="dxa" w:w="85"/>
            </w:tcMar>
          </w:tcPr>
          <w:p>
            <w:pPr>
              <w:jc w:val="center"/>
            </w:pPr>
            <w:r>
              <w:rPr>
                <w:b w:val="false"/>
                <w:bCs w:val="false"/>
                <w:sz w:val="17"/>
                <w:szCs w:val="17"/>
              </w:rPr>
              <w:t xml:space="preserve">τ mediana, nivel 0,95</w:t>
            </w:r>
          </w:p>
        </w:tc>
        <w:tc>
          <w:tcPr>
            <w:tcW w:type="dxa" w:w="1700"/>
            <w:tcMar>
              <w:top w:type="dxa" w:w="50"/>
              <w:left w:type="dxa" w:w="85"/>
              <w:bottom w:type="dxa" w:w="50"/>
              <w:right w:type="dxa" w:w="85"/>
            </w:tcMar>
          </w:tcPr>
          <w:p>
            <w:pPr>
              <w:jc w:val="center"/>
            </w:pPr>
            <w:r>
              <w:rPr>
                <w:b w:val="false"/>
                <w:bCs w:val="false"/>
                <w:sz w:val="17"/>
                <w:szCs w:val="17"/>
              </w:rPr>
              <w:t xml:space="preserve">0,00114</w:t>
            </w:r>
          </w:p>
        </w:tc>
        <w:tc>
          <w:tcPr>
            <w:tcW w:type="dxa" w:w="1700"/>
            <w:tcMar>
              <w:top w:type="dxa" w:w="50"/>
              <w:left w:type="dxa" w:w="85"/>
              <w:bottom w:type="dxa" w:w="50"/>
              <w:right w:type="dxa" w:w="85"/>
            </w:tcMar>
          </w:tcPr>
          <w:p>
            <w:pPr>
              <w:jc w:val="center"/>
            </w:pPr>
            <w:r>
              <w:rPr>
                <w:b w:val="false"/>
                <w:bCs w:val="false"/>
                <w:sz w:val="17"/>
                <w:szCs w:val="17"/>
              </w:rPr>
              <w:t xml:space="preserve">0,01318</w:t>
            </w:r>
          </w:p>
        </w:tc>
        <w:tc>
          <w:tcPr>
            <w:tcW w:type="dxa" w:w="1700"/>
            <w:tcMar>
              <w:top w:type="dxa" w:w="50"/>
              <w:left w:type="dxa" w:w="85"/>
              <w:bottom w:type="dxa" w:w="50"/>
              <w:right w:type="dxa" w:w="85"/>
            </w:tcMar>
          </w:tcPr>
          <w:p>
            <w:pPr>
              <w:jc w:val="center"/>
            </w:pPr>
            <w:r>
              <w:rPr>
                <w:b w:val="false"/>
                <w:bCs w:val="false"/>
                <w:sz w:val="17"/>
                <w:szCs w:val="17"/>
              </w:rPr>
              <w:t xml:space="preserve">11,53×</w:t>
            </w:r>
          </w:p>
        </w:tc>
      </w:tr>
      <w:tr>
        <w:tc>
          <w:tcPr>
            <w:tcW w:type="dxa" w:w="1400"/>
            <w:tcMar>
              <w:top w:type="dxa" w:w="50"/>
              <w:left w:type="dxa" w:w="85"/>
              <w:bottom w:type="dxa" w:w="50"/>
              <w:right w:type="dxa" w:w="85"/>
            </w:tcMar>
          </w:tcPr>
          <w:p>
            <w:pPr>
              <w:jc w:val="center"/>
            </w:pPr>
            <w:r>
              <w:rPr>
                <w:b w:val="false"/>
                <w:bCs w:val="false"/>
                <w:sz w:val="17"/>
                <w:szCs w:val="17"/>
              </w:rPr>
              <w:t xml:space="preserve">τ / radio envolvente</w:t>
            </w:r>
          </w:p>
        </w:tc>
        <w:tc>
          <w:tcPr>
            <w:tcW w:type="dxa" w:w="1700"/>
            <w:tcMar>
              <w:top w:type="dxa" w:w="50"/>
              <w:left w:type="dxa" w:w="85"/>
              <w:bottom w:type="dxa" w:w="50"/>
              <w:right w:type="dxa" w:w="85"/>
            </w:tcMar>
          </w:tcPr>
          <w:p>
            <w:pPr>
              <w:jc w:val="center"/>
            </w:pPr>
            <w:r>
              <w:rPr>
                <w:b w:val="false"/>
                <w:bCs w:val="false"/>
                <w:sz w:val="17"/>
                <w:szCs w:val="17"/>
              </w:rPr>
              <w:t xml:space="preserve">0,0705</w:t>
            </w:r>
          </w:p>
        </w:tc>
        <w:tc>
          <w:tcPr>
            <w:tcW w:type="dxa" w:w="1700"/>
            <w:tcMar>
              <w:top w:type="dxa" w:w="50"/>
              <w:left w:type="dxa" w:w="85"/>
              <w:bottom w:type="dxa" w:w="50"/>
              <w:right w:type="dxa" w:w="85"/>
            </w:tcMar>
          </w:tcPr>
          <w:p>
            <w:pPr>
              <w:jc w:val="center"/>
            </w:pPr>
            <w:r>
              <w:rPr>
                <w:b w:val="false"/>
                <w:bCs w:val="false"/>
                <w:sz w:val="17"/>
                <w:szCs w:val="17"/>
              </w:rPr>
              <w:t xml:space="preserve">0,0857</w:t>
            </w:r>
          </w:p>
        </w:tc>
        <w:tc>
          <w:tcPr>
            <w:tcW w:type="dxa" w:w="1700"/>
            <w:tcMar>
              <w:top w:type="dxa" w:w="50"/>
              <w:left w:type="dxa" w:w="85"/>
              <w:bottom w:type="dxa" w:w="50"/>
              <w:right w:type="dxa" w:w="85"/>
            </w:tcMar>
          </w:tcPr>
          <w:p>
            <w:pPr>
              <w:jc w:val="center"/>
            </w:pPr>
            <w:r>
              <w:rPr>
                <w:b w:val="false"/>
                <w:bCs w:val="false"/>
                <w:sz w:val="17"/>
                <w:szCs w:val="17"/>
              </w:rPr>
              <w:t xml:space="preserve">1,22×</w:t>
            </w:r>
          </w:p>
        </w:tc>
      </w:tr>
      <w:tr>
        <w:tc>
          <w:tcPr>
            <w:tcW w:type="dxa" w:w="1400"/>
            <w:tcMar>
              <w:top w:type="dxa" w:w="50"/>
              <w:left w:type="dxa" w:w="85"/>
              <w:bottom w:type="dxa" w:w="50"/>
              <w:right w:type="dxa" w:w="85"/>
            </w:tcMar>
          </w:tcPr>
          <w:p>
            <w:pPr>
              <w:jc w:val="center"/>
            </w:pPr>
            <w:r>
              <w:rPr>
                <w:b w:val="false"/>
                <w:bCs w:val="false"/>
                <w:sz w:val="17"/>
                <w:szCs w:val="17"/>
              </w:rPr>
              <w:t xml:space="preserve">d_eff_model media</w:t>
            </w:r>
          </w:p>
        </w:tc>
        <w:tc>
          <w:tcPr>
            <w:tcW w:type="dxa" w:w="1700"/>
            <w:tcMar>
              <w:top w:type="dxa" w:w="50"/>
              <w:left w:type="dxa" w:w="85"/>
              <w:bottom w:type="dxa" w:w="50"/>
              <w:right w:type="dxa" w:w="85"/>
            </w:tcMar>
          </w:tcPr>
          <w:p>
            <w:pPr>
              <w:jc w:val="center"/>
            </w:pPr>
            <w:r>
              <w:rPr>
                <w:b w:val="false"/>
                <w:bCs w:val="false"/>
                <w:sz w:val="17"/>
                <w:szCs w:val="17"/>
              </w:rPr>
              <w:t xml:space="preserve">2,38</w:t>
            </w:r>
          </w:p>
        </w:tc>
        <w:tc>
          <w:tcPr>
            <w:tcW w:type="dxa" w:w="1700"/>
            <w:tcMar>
              <w:top w:type="dxa" w:w="50"/>
              <w:left w:type="dxa" w:w="85"/>
              <w:bottom w:type="dxa" w:w="50"/>
              <w:right w:type="dxa" w:w="85"/>
            </w:tcMar>
          </w:tcPr>
          <w:p>
            <w:pPr>
              <w:jc w:val="center"/>
            </w:pPr>
            <w:r>
              <w:rPr>
                <w:b w:val="false"/>
                <w:bCs w:val="false"/>
                <w:sz w:val="17"/>
                <w:szCs w:val="17"/>
              </w:rPr>
              <w:t xml:space="preserve">2,85</w:t>
            </w:r>
          </w:p>
        </w:tc>
        <w:tc>
          <w:tcPr>
            <w:tcW w:type="dxa" w:w="1700"/>
            <w:tcMar>
              <w:top w:type="dxa" w:w="50"/>
              <w:left w:type="dxa" w:w="85"/>
              <w:bottom w:type="dxa" w:w="50"/>
              <w:right w:type="dxa" w:w="85"/>
            </w:tcMar>
          </w:tcPr>
          <w:p>
            <w:pPr>
              <w:jc w:val="center"/>
            </w:pPr>
            <w:r>
              <w:rPr>
                <w:b w:val="false"/>
                <w:bCs w:val="false"/>
                <w:sz w:val="17"/>
                <w:szCs w:val="17"/>
              </w:rPr>
              <w:t xml:space="preserve">1,20×</w:t>
            </w:r>
          </w:p>
        </w:tc>
      </w:tr>
      <w:tr>
        <w:tc>
          <w:tcPr>
            <w:tcW w:type="dxa" w:w="1400"/>
            <w:tcMar>
              <w:top w:type="dxa" w:w="50"/>
              <w:left w:type="dxa" w:w="85"/>
              <w:bottom w:type="dxa" w:w="50"/>
              <w:right w:type="dxa" w:w="85"/>
            </w:tcMar>
          </w:tcPr>
          <w:p>
            <w:pPr>
              <w:jc w:val="center"/>
            </w:pPr>
            <w:r>
              <w:rPr>
                <w:b w:val="false"/>
                <w:bCs w:val="false"/>
                <w:sz w:val="17"/>
                <w:szCs w:val="17"/>
              </w:rPr>
              <w:t xml:space="preserve">d_eff_raw media</w:t>
            </w:r>
          </w:p>
        </w:tc>
        <w:tc>
          <w:tcPr>
            <w:tcW w:type="dxa" w:w="1700"/>
            <w:tcMar>
              <w:top w:type="dxa" w:w="50"/>
              <w:left w:type="dxa" w:w="85"/>
              <w:bottom w:type="dxa" w:w="50"/>
              <w:right w:type="dxa" w:w="85"/>
            </w:tcMar>
          </w:tcPr>
          <w:p>
            <w:pPr>
              <w:jc w:val="center"/>
            </w:pPr>
            <w:r>
              <w:rPr>
                <w:b w:val="false"/>
                <w:bCs w:val="false"/>
                <w:sz w:val="17"/>
                <w:szCs w:val="17"/>
              </w:rPr>
              <w:t xml:space="preserve">1,70</w:t>
            </w:r>
          </w:p>
        </w:tc>
        <w:tc>
          <w:tcPr>
            <w:tcW w:type="dxa" w:w="1700"/>
            <w:tcMar>
              <w:top w:type="dxa" w:w="50"/>
              <w:left w:type="dxa" w:w="85"/>
              <w:bottom w:type="dxa" w:w="50"/>
              <w:right w:type="dxa" w:w="85"/>
            </w:tcMar>
          </w:tcPr>
          <w:p>
            <w:pPr>
              <w:jc w:val="center"/>
            </w:pPr>
            <w:r>
              <w:rPr>
                <w:b w:val="false"/>
                <w:bCs w:val="false"/>
                <w:sz w:val="17"/>
                <w:szCs w:val="17"/>
              </w:rPr>
              <w:t xml:space="preserve">2,38</w:t>
            </w:r>
          </w:p>
        </w:tc>
        <w:tc>
          <w:tcPr>
            <w:tcW w:type="dxa" w:w="1700"/>
            <w:tcMar>
              <w:top w:type="dxa" w:w="50"/>
              <w:left w:type="dxa" w:w="85"/>
              <w:bottom w:type="dxa" w:w="50"/>
              <w:right w:type="dxa" w:w="85"/>
            </w:tcMar>
          </w:tcPr>
          <w:p>
            <w:pPr>
              <w:jc w:val="center"/>
            </w:pPr>
            <w:r>
              <w:rPr>
                <w:b w:val="false"/>
                <w:bCs w:val="false"/>
                <w:sz w:val="17"/>
                <w:szCs w:val="17"/>
              </w:rPr>
              <w:t xml:space="preserve">1,40×</w:t>
            </w:r>
          </w:p>
        </w:tc>
      </w:tr>
      <w:tr>
        <w:tc>
          <w:tcPr>
            <w:tcW w:type="dxa" w:w="1400"/>
            <w:tcMar>
              <w:top w:type="dxa" w:w="50"/>
              <w:left w:type="dxa" w:w="85"/>
              <w:bottom w:type="dxa" w:w="50"/>
              <w:right w:type="dxa" w:w="85"/>
            </w:tcMar>
          </w:tcPr>
          <w:p>
            <w:pPr>
              <w:jc w:val="center"/>
            </w:pPr>
            <w:r>
              <w:rPr>
                <w:b w:val="false"/>
                <w:bCs w:val="false"/>
                <w:sz w:val="17"/>
                <w:szCs w:val="17"/>
              </w:rPr>
              <w:t xml:space="preserve">Cobertura nivel 0,95</w:t>
            </w:r>
          </w:p>
        </w:tc>
        <w:tc>
          <w:tcPr>
            <w:tcW w:type="dxa" w:w="1700"/>
            <w:tcMar>
              <w:top w:type="dxa" w:w="50"/>
              <w:left w:type="dxa" w:w="85"/>
              <w:bottom w:type="dxa" w:w="50"/>
              <w:right w:type="dxa" w:w="85"/>
            </w:tcMar>
          </w:tcPr>
          <w:p>
            <w:pPr>
              <w:jc w:val="center"/>
            </w:pPr>
            <w:r>
              <w:rPr>
                <w:b w:val="false"/>
                <w:bCs w:val="false"/>
                <w:sz w:val="17"/>
                <w:szCs w:val="17"/>
              </w:rPr>
              <w:t xml:space="preserve">94,87 %</w:t>
            </w:r>
          </w:p>
        </w:tc>
        <w:tc>
          <w:tcPr>
            <w:tcW w:type="dxa" w:w="1700"/>
            <w:tcMar>
              <w:top w:type="dxa" w:w="50"/>
              <w:left w:type="dxa" w:w="85"/>
              <w:bottom w:type="dxa" w:w="50"/>
              <w:right w:type="dxa" w:w="85"/>
            </w:tcMar>
          </w:tcPr>
          <w:p>
            <w:pPr>
              <w:jc w:val="center"/>
            </w:pPr>
            <w:r>
              <w:rPr>
                <w:b w:val="false"/>
                <w:bCs w:val="false"/>
                <w:sz w:val="17"/>
                <w:szCs w:val="17"/>
              </w:rPr>
              <w:t xml:space="preserve">95,72 %</w:t>
            </w:r>
          </w:p>
        </w:tc>
        <w:tc>
          <w:tcPr>
            <w:tcW w:type="dxa" w:w="1700"/>
            <w:tcMar>
              <w:top w:type="dxa" w:w="50"/>
              <w:left w:type="dxa" w:w="85"/>
              <w:bottom w:type="dxa" w:w="50"/>
              <w:right w:type="dxa" w:w="85"/>
            </w:tcMar>
          </w:tcPr>
          <w:p>
            <w:pPr>
              <w:jc w:val="center"/>
            </w:pPr>
            <w:r>
              <w:rPr>
                <w:b w:val="false"/>
                <w:bCs w:val="false"/>
                <w:sz w:val="17"/>
                <w:szCs w:val="17"/>
              </w:rPr>
              <w:t xml:space="preserve">plana</w:t>
            </w:r>
          </w:p>
        </w:tc>
      </w:tr>
    </w:tbl>
    <w:p>
      <w:pPr>
        <w:spacing w:after="160"/>
      </w:pPr>
    </w:p>
    <w:p>
      <w:pPr>
        <w:spacing w:after="120"/>
      </w:pPr>
      <w:r>
        <w:t xml:space="preserve">Tres lecturas de esa tabla ordenan el diseño:</w:t>
      </w:r>
    </w:p>
    <w:p>
      <w:pPr>
        <w:pStyle w:val="ListParagraph"/>
        <w:numPr>
          <w:ilvl w:val="0"/>
          <w:numId w:val="1"/>
        </w:numPr>
        <w:spacing w:after="120"/>
      </w:pPr>
      <w:r>
        <w:t xml:space="preserve">La cobertura no se degrada dentro del horizonte actual: el nivel 0,95 se mantiene plano en los diez snapshots. La calibración no es, por ahora, la propiedad que falla.</w:t>
      </w:r>
    </w:p>
    <w:p>
      <w:pPr>
        <w:pStyle w:val="ListParagraph"/>
        <w:numPr>
          <w:ilvl w:val="0"/>
          <w:numId w:val="1"/>
        </w:numPr>
        <w:spacing w:after="120"/>
      </w:pPr>
      <w:r>
        <w:t xml:space="preserve">El radio absoluto crece más de once veces, pero la envolvente del ensemble crece casi lo mismo. La inflación relativa existe y es lenta: 22 % sobre todo el horizonte actual.</w:t>
      </w:r>
    </w:p>
    <w:p>
      <w:pPr>
        <w:pStyle w:val="ListParagraph"/>
        <w:numPr>
          <w:ilvl w:val="0"/>
          <w:numId w:val="1"/>
        </w:numPr>
        <w:spacing w:after="120"/>
      </w:pPr>
      <w:r>
        <w:t xml:space="preserve">La dimensión efectiva del ensemble crece. La magnitud relevante es d_eff_raw, el número de componentes principales que el método necesita para alcanzar su propio umbral de varianza: pasa de 1,70 a 2,38 sobre el horizonte actual, un cuarenta por ciento, y la fracción de celdas que requieren tres o más componentes sube del 16,7 % al 28,3 %. Esta es la observación que motiva el criterio estructural de la § 3.2: la compresibilidad del ensemble en pocas componentes es la condición del régimen en que el instrumento resulta más informativo, y esa condición se está erosionando.</w:t>
      </w:r>
    </w:p>
    <w:p>
      <w:pPr>
        <w:spacing w:after="120"/>
      </w:pPr>
      <w:r>
        <w:rPr>
          <w:b/>
          <w:bCs/>
        </w:rPr>
        <w:t xml:space="preserve">Advertencia metodológica registrada. </w:t>
      </w:r>
      <w:r>
        <w:t xml:space="preserve">El primer análisis de este diagnóstico concluyó erróneamente que no había inflación relativa, porque el proxy de tamaño disponible en las salidas —definido como (τ / radio) elevado a d_eff— decrece cuando d_eff crece, aun con el cociente base en aumento. La conclusión correcta se obtuvo reconstruyendo el cociente crudo. De ahí surge un requisito de reporte de esta etapa: el cociente τ / radio debe registrarse de forma directa y no inferirse de un proxy con exponente variable.</w:t>
      </w:r>
    </w:p>
    <w:p>
      <w:pPr>
        <w:spacing w:after="120"/>
      </w:pPr>
      <w:r>
        <w:rPr>
          <w:b/>
          <w:bCs/>
        </w:rPr>
        <w:t xml:space="preserve">Extrapolación de la tendencia observada. </w:t>
      </w:r>
      <w:r>
        <w:t xml:space="preserve">Al ritmo geométrico medido por snapshot —1,0221× para τ/radio y 1,0383× para d_eff_raw—, la proyección a 20 y 40 snapshots da τ/radio de 0,107 y 0,165, y d_eff_raw medio de 3,47 y 7,35. Ese último valor es el que dimensiona la etapa: un ensemble que necesita siete componentes principales ya no es un objeto de baja dimensión. Esa proyección no es una predicción del comportamiento real, porque nada garantiza que la tasa se mantenga; se usa únicamente para dimensionar el rango de barrido de modo que el fenómeno tenga oportunidad de manifestarse.</w:t>
      </w:r>
    </w:p>
    <w:p>
      <w:pPr>
        <w:pStyle w:val="Heading1"/>
        <w:spacing w:after="140" w:before="280"/>
      </w:pPr>
      <w:r>
        <w:t xml:space="preserve">2. Diseño</w:t>
      </w:r>
    </w:p>
    <w:p>
      <w:pPr>
        <w:pStyle w:val="Heading2"/>
        <w:spacing w:after="140" w:before="280"/>
      </w:pPr>
      <w:r>
        <w:t xml:space="preserve">2.1 Variable única (D1)</w:t>
      </w:r>
    </w:p>
    <w:p>
      <w:pPr>
        <w:spacing w:after="120"/>
      </w:pPr>
      <w:r>
        <w:rPr>
          <w:b/>
          <w:bCs/>
        </w:rPr>
        <w:t xml:space="preserve">Variable operativa: el factor de horizonte H = 4. Punto de control intermedio: H = 2. </w:t>
      </w:r>
      <w:r>
        <w:t xml:space="preserve">H multiplica la profundidad temporal manteniendo constante el espaciado entre snapshots. El horizonte de v7.7-b corresponde a H = 1 con diez snapshots; H = 2 produce veinte y H = 4 produce cuarenta, todos con el mismo intervalo temporal entre ellos. La distinción entre variable operativa y punto de control no es de matiz y se fundamenta en la § 2.2: con espaciado constante, H = 2 está contenido en H = 4 y no aporta mediciones nuevas.</w:t>
      </w:r>
    </w:p>
    <w:p>
      <w:pPr>
        <w:spacing w:after="120"/>
      </w:pPr>
      <w:r>
        <w:t xml:space="preserve">M = 40 heredado de v7.7-b por la regla de consecuencia prerregistrada, N = 50 fijo, y k, ε y el método aux2b congelados. La grilla de cinco niveles se conserva completa.</w:t>
      </w:r>
    </w:p>
    <w:p>
      <w:pPr>
        <w:spacing w:after="120"/>
      </w:pPr>
      <w:r>
        <w:rPr>
          <w:b/>
          <w:bCs/>
        </w:rPr>
        <w:t xml:space="preserve">Por qué se extiende el número de snapshots y no el espaciado. </w:t>
      </w:r>
      <w:r>
        <w:t xml:space="preserve">Si se multiplicara T_max manteniendo diez snapshots, los instantes evaluados cambiarían y ninguna medición de v7.7-b sería comparable con las nuevas. Manteniendo el espaciado, los primeros diez snapshots de cada brazo evalúan exactamente los mismos instantes que v7.7-b, y por tanto deben reproducir sus resultados. Esa igualdad es la puerta de regresión de la etapa y no cuesta cómputo adicional, porque esos snapshots hay que integrarlos igual.</w:t>
      </w:r>
    </w:p>
    <w:p>
      <w:pPr>
        <w:spacing w:after="120"/>
      </w:pPr>
      <w:r>
        <w:rPr>
          <w:b/>
          <w:bCs/>
        </w:rPr>
        <w:t xml:space="preserve">Enmienda de método única y declarada: </w:t>
      </w:r>
      <w:r>
        <w:t xml:space="preserve">la constante N_SNAPSHOTS = 10 se reemplaza por la regla N_SNAPSHOTS = 10·H, y el horizonte de integración pasa de T_adaptive a H·T_adaptive. Con H = 1 ambas expresiones devuelven exactamente el método congelado. Fuera de esta regla y de los reportes adicionales de la § 3.4, el método permanece congelado.</w:t>
      </w:r>
    </w:p>
    <w:p>
      <w:pPr>
        <w:pStyle w:val="Heading2"/>
        <w:spacing w:after="140" w:before="280"/>
      </w:pPr>
      <w:r>
        <w:t xml:space="preserve">2.2 Estructura prerregistrada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2400"/>
        <w:gridCol w:w="2400"/>
      </w:tblGrid>
      <w:tr>
        <w:tc>
          <w:tcPr>
            <w:tcW w:type="dxa" w:w="1200"/>
            <w:shd w:fill="E8E8E8" w:val="clear"/>
            <w:tcMar>
              <w:top w:type="dxa" w:w="50"/>
              <w:left w:type="dxa" w:w="85"/>
              <w:bottom w:type="dxa" w:w="50"/>
              <w:right w:type="dxa" w:w="85"/>
            </w:tcMar>
          </w:tcPr>
          <w:p>
            <w:pPr>
              <w:jc w:val="center"/>
            </w:pPr>
            <w:r>
              <w:rPr>
                <w:b/>
                <w:bCs/>
                <w:sz w:val="15"/>
                <w:szCs w:val="15"/>
              </w:rPr>
              <w:t xml:space="preserve">H</w:t>
            </w:r>
          </w:p>
        </w:tc>
        <w:tc>
          <w:tcPr>
            <w:tcW w:type="dxa" w:w="1500"/>
            <w:shd w:fill="E8E8E8" w:val="clear"/>
            <w:tcMar>
              <w:top w:type="dxa" w:w="50"/>
              <w:left w:type="dxa" w:w="85"/>
              <w:bottom w:type="dxa" w:w="50"/>
              <w:right w:type="dxa" w:w="85"/>
            </w:tcMar>
          </w:tcPr>
          <w:p>
            <w:pPr>
              <w:jc w:val="center"/>
            </w:pPr>
            <w:r>
              <w:rPr>
                <w:b/>
                <w:bCs/>
                <w:sz w:val="15"/>
                <w:szCs w:val="15"/>
              </w:rPr>
              <w:t xml:space="preserve">Snapshots</w:t>
            </w:r>
          </w:p>
        </w:tc>
        <w:tc>
          <w:tcPr>
            <w:tcW w:type="dxa" w:w="1500"/>
            <w:shd w:fill="E8E8E8" w:val="clear"/>
            <w:tcMar>
              <w:top w:type="dxa" w:w="50"/>
              <w:left w:type="dxa" w:w="85"/>
              <w:bottom w:type="dxa" w:w="50"/>
              <w:right w:type="dxa" w:w="85"/>
            </w:tcMar>
          </w:tcPr>
          <w:p>
            <w:pPr>
              <w:jc w:val="center"/>
            </w:pPr>
            <w:r>
              <w:rPr>
                <w:b/>
                <w:bCs/>
                <w:sz w:val="15"/>
                <w:szCs w:val="15"/>
              </w:rPr>
              <w:t xml:space="preserve">T integrado</w:t>
            </w:r>
          </w:p>
        </w:tc>
        <w:tc>
          <w:tcPr>
            <w:tcW w:type="dxa" w:w="2400"/>
            <w:shd w:fill="E8E8E8" w:val="clear"/>
            <w:tcMar>
              <w:top w:type="dxa" w:w="50"/>
              <w:left w:type="dxa" w:w="85"/>
              <w:bottom w:type="dxa" w:w="50"/>
              <w:right w:type="dxa" w:w="85"/>
            </w:tcMar>
          </w:tcPr>
          <w:p>
            <w:pPr>
              <w:jc w:val="center"/>
            </w:pPr>
            <w:r>
              <w:rPr>
                <w:b/>
                <w:bCs/>
                <w:sz w:val="15"/>
                <w:szCs w:val="15"/>
              </w:rPr>
              <w:t xml:space="preserve">Rol</w:t>
            </w:r>
          </w:p>
        </w:tc>
        <w:tc>
          <w:tcPr>
            <w:tcW w:type="dxa" w:w="2400"/>
            <w:shd w:fill="E8E8E8" w:val="clear"/>
            <w:tcMar>
              <w:top w:type="dxa" w:w="50"/>
              <w:left w:type="dxa" w:w="85"/>
              <w:bottom w:type="dxa" w:w="50"/>
              <w:right w:type="dxa" w:w="85"/>
            </w:tcMar>
          </w:tcPr>
          <w:p>
            <w:pPr>
              <w:jc w:val="center"/>
            </w:pPr>
            <w:r>
              <w:rPr>
                <w:b/>
                <w:bCs/>
                <w:sz w:val="15"/>
                <w:szCs w:val="15"/>
              </w:rPr>
              <w:t xml:space="preserve">Estado</w:t>
            </w:r>
          </w:p>
        </w:tc>
      </w:tr>
      <w:tr>
        <w:tc>
          <w:tcPr>
            <w:tcW w:type="dxa" w:w="1200"/>
            <w:tcMar>
              <w:top w:type="dxa" w:w="50"/>
              <w:left w:type="dxa" w:w="85"/>
              <w:bottom w:type="dxa" w:w="50"/>
              <w:right w:type="dxa" w:w="85"/>
            </w:tcMar>
          </w:tcPr>
          <w:p>
            <w:pPr>
              <w:jc w:val="center"/>
            </w:pPr>
            <w:r>
              <w:rPr>
                <w:b w:val="false"/>
                <w:bCs w:val="false"/>
                <w:sz w:val="15"/>
                <w:szCs w:val="15"/>
              </w:rPr>
              <w:t xml:space="preserve">1</w:t>
            </w:r>
          </w:p>
        </w:tc>
        <w:tc>
          <w:tcPr>
            <w:tcW w:type="dxa" w:w="1500"/>
            <w:tcMar>
              <w:top w:type="dxa" w:w="50"/>
              <w:left w:type="dxa" w:w="85"/>
              <w:bottom w:type="dxa" w:w="50"/>
              <w:right w:type="dxa" w:w="85"/>
            </w:tcMar>
          </w:tcPr>
          <w:p>
            <w:pPr>
              <w:jc w:val="center"/>
            </w:pPr>
            <w:r>
              <w:rPr>
                <w:b w:val="false"/>
                <w:bCs w:val="false"/>
                <w:sz w:val="15"/>
                <w:szCs w:val="15"/>
              </w:rPr>
              <w:t xml:space="preserve">10</w:t>
            </w:r>
          </w:p>
        </w:tc>
        <w:tc>
          <w:tcPr>
            <w:tcW w:type="dxa" w:w="1500"/>
            <w:tcMar>
              <w:top w:type="dxa" w:w="50"/>
              <w:left w:type="dxa" w:w="85"/>
              <w:bottom w:type="dxa" w:w="50"/>
              <w:right w:type="dxa" w:w="85"/>
            </w:tcMar>
          </w:tcPr>
          <w:p>
            <w:pPr>
              <w:jc w:val="center"/>
            </w:pPr>
            <w:r>
              <w:rPr>
                <w:b w:val="false"/>
                <w:bCs w:val="false"/>
                <w:sz w:val="15"/>
                <w:szCs w:val="15"/>
              </w:rPr>
              <w:t xml:space="preserve">T_adaptive</w:t>
            </w:r>
          </w:p>
        </w:tc>
        <w:tc>
          <w:tcPr>
            <w:tcW w:type="dxa" w:w="2400"/>
            <w:tcMar>
              <w:top w:type="dxa" w:w="50"/>
              <w:left w:type="dxa" w:w="85"/>
              <w:bottom w:type="dxa" w:w="50"/>
              <w:right w:type="dxa" w:w="85"/>
            </w:tcMar>
          </w:tcPr>
          <w:p>
            <w:pPr>
              <w:jc w:val="center"/>
            </w:pPr>
            <w:r>
              <w:rPr>
                <w:b w:val="false"/>
                <w:bCs w:val="false"/>
                <w:sz w:val="15"/>
                <w:szCs w:val="15"/>
              </w:rPr>
              <w:t xml:space="preserve">Referencia de regresión</w:t>
            </w:r>
          </w:p>
        </w:tc>
        <w:tc>
          <w:tcPr>
            <w:tcW w:type="dxa" w:w="2400"/>
            <w:tcMar>
              <w:top w:type="dxa" w:w="50"/>
              <w:left w:type="dxa" w:w="85"/>
              <w:bottom w:type="dxa" w:w="50"/>
              <w:right w:type="dxa" w:w="85"/>
            </w:tcMar>
          </w:tcPr>
          <w:p>
            <w:pPr>
              <w:jc w:val="center"/>
            </w:pPr>
            <w:r>
              <w:rPr>
                <w:b w:val="false"/>
                <w:bCs w:val="false"/>
                <w:sz w:val="15"/>
                <w:szCs w:val="15"/>
              </w:rPr>
              <w:t xml:space="preserve">Ya corrido en v7.7-b</w:t>
            </w:r>
          </w:p>
        </w:tc>
      </w:tr>
      <w:tr>
        <w:tc>
          <w:tcPr>
            <w:tcW w:type="dxa" w:w="1200"/>
            <w:tcMar>
              <w:top w:type="dxa" w:w="50"/>
              <w:left w:type="dxa" w:w="85"/>
              <w:bottom w:type="dxa" w:w="50"/>
              <w:right w:type="dxa" w:w="85"/>
            </w:tcMar>
          </w:tcPr>
          <w:p>
            <w:pPr>
              <w:jc w:val="center"/>
            </w:pPr>
            <w:r>
              <w:rPr>
                <w:b w:val="false"/>
                <w:bCs w:val="false"/>
                <w:sz w:val="15"/>
                <w:szCs w:val="15"/>
              </w:rPr>
              <w:t xml:space="preserve">2</w:t>
            </w:r>
          </w:p>
        </w:tc>
        <w:tc>
          <w:tcPr>
            <w:tcW w:type="dxa" w:w="1500"/>
            <w:tcMar>
              <w:top w:type="dxa" w:w="50"/>
              <w:left w:type="dxa" w:w="85"/>
              <w:bottom w:type="dxa" w:w="50"/>
              <w:right w:type="dxa" w:w="85"/>
            </w:tcMar>
          </w:tcPr>
          <w:p>
            <w:pPr>
              <w:jc w:val="center"/>
            </w:pPr>
            <w:r>
              <w:rPr>
                <w:b w:val="false"/>
                <w:bCs w:val="false"/>
                <w:sz w:val="15"/>
                <w:szCs w:val="15"/>
              </w:rPr>
              <w:t xml:space="preserve">20</w:t>
            </w:r>
          </w:p>
        </w:tc>
        <w:tc>
          <w:tcPr>
            <w:tcW w:type="dxa" w:w="1500"/>
            <w:tcMar>
              <w:top w:type="dxa" w:w="50"/>
              <w:left w:type="dxa" w:w="85"/>
              <w:bottom w:type="dxa" w:w="50"/>
              <w:right w:type="dxa" w:w="85"/>
            </w:tcMar>
          </w:tcPr>
          <w:p>
            <w:pPr>
              <w:jc w:val="center"/>
            </w:pPr>
            <w:r>
              <w:rPr>
                <w:b w:val="false"/>
                <w:bCs w:val="false"/>
                <w:sz w:val="15"/>
                <w:szCs w:val="15"/>
              </w:rPr>
              <w:t xml:space="preserve">2·T_adaptive</w:t>
            </w:r>
          </w:p>
        </w:tc>
        <w:tc>
          <w:tcPr>
            <w:tcW w:type="dxa" w:w="2400"/>
            <w:tcMar>
              <w:top w:type="dxa" w:w="50"/>
              <w:left w:type="dxa" w:w="85"/>
              <w:bottom w:type="dxa" w:w="50"/>
              <w:right w:type="dxa" w:w="85"/>
            </w:tcMar>
          </w:tcPr>
          <w:p>
            <w:pPr>
              <w:jc w:val="center"/>
            </w:pPr>
            <w:r>
              <w:rPr>
                <w:b w:val="false"/>
                <w:bCs w:val="false"/>
                <w:sz w:val="15"/>
                <w:szCs w:val="15"/>
              </w:rPr>
              <w:t xml:space="preserve">Primera extensión</w:t>
            </w:r>
          </w:p>
        </w:tc>
        <w:tc>
          <w:tcPr>
            <w:tcW w:type="dxa" w:w="2400"/>
            <w:tcMar>
              <w:top w:type="dxa" w:w="50"/>
              <w:left w:type="dxa" w:w="85"/>
              <w:bottom w:type="dxa" w:w="50"/>
              <w:right w:type="dxa" w:w="85"/>
            </w:tcMar>
          </w:tcPr>
          <w:p>
            <w:pPr>
              <w:jc w:val="center"/>
            </w:pPr>
            <w:r>
              <w:rPr>
                <w:b w:val="false"/>
                <w:bCs w:val="false"/>
                <w:sz w:val="15"/>
                <w:szCs w:val="15"/>
              </w:rPr>
              <w:t xml:space="preserve">Esta etapa</w:t>
            </w:r>
          </w:p>
        </w:tc>
      </w:tr>
      <w:tr>
        <w:tc>
          <w:tcPr>
            <w:tcW w:type="dxa" w:w="1200"/>
            <w:tcMar>
              <w:top w:type="dxa" w:w="50"/>
              <w:left w:type="dxa" w:w="85"/>
              <w:bottom w:type="dxa" w:w="50"/>
              <w:right w:type="dxa" w:w="85"/>
            </w:tcMar>
          </w:tcPr>
          <w:p>
            <w:pPr>
              <w:jc w:val="center"/>
            </w:pPr>
            <w:r>
              <w:rPr>
                <w:b w:val="false"/>
                <w:bCs w:val="false"/>
                <w:sz w:val="15"/>
                <w:szCs w:val="15"/>
              </w:rPr>
              <w:t xml:space="preserve">4</w:t>
            </w:r>
          </w:p>
        </w:tc>
        <w:tc>
          <w:tcPr>
            <w:tcW w:type="dxa" w:w="1500"/>
            <w:tcMar>
              <w:top w:type="dxa" w:w="50"/>
              <w:left w:type="dxa" w:w="85"/>
              <w:bottom w:type="dxa" w:w="50"/>
              <w:right w:type="dxa" w:w="85"/>
            </w:tcMar>
          </w:tcPr>
          <w:p>
            <w:pPr>
              <w:jc w:val="center"/>
            </w:pPr>
            <w:r>
              <w:rPr>
                <w:b w:val="false"/>
                <w:bCs w:val="false"/>
                <w:sz w:val="15"/>
                <w:szCs w:val="15"/>
              </w:rPr>
              <w:t xml:space="preserve">40</w:t>
            </w:r>
          </w:p>
        </w:tc>
        <w:tc>
          <w:tcPr>
            <w:tcW w:type="dxa" w:w="1500"/>
            <w:tcMar>
              <w:top w:type="dxa" w:w="50"/>
              <w:left w:type="dxa" w:w="85"/>
              <w:bottom w:type="dxa" w:w="50"/>
              <w:right w:type="dxa" w:w="85"/>
            </w:tcMar>
          </w:tcPr>
          <w:p>
            <w:pPr>
              <w:jc w:val="center"/>
            </w:pPr>
            <w:r>
              <w:rPr>
                <w:b w:val="false"/>
                <w:bCs w:val="false"/>
                <w:sz w:val="15"/>
                <w:szCs w:val="15"/>
              </w:rPr>
              <w:t xml:space="preserve">4·T_adaptive</w:t>
            </w:r>
          </w:p>
        </w:tc>
        <w:tc>
          <w:tcPr>
            <w:tcW w:type="dxa" w:w="2400"/>
            <w:tcMar>
              <w:top w:type="dxa" w:w="50"/>
              <w:left w:type="dxa" w:w="85"/>
              <w:bottom w:type="dxa" w:w="50"/>
              <w:right w:type="dxa" w:w="85"/>
            </w:tcMar>
          </w:tcPr>
          <w:p>
            <w:pPr>
              <w:jc w:val="center"/>
            </w:pPr>
            <w:r>
              <w:rPr>
                <w:b w:val="false"/>
                <w:bCs w:val="false"/>
                <w:sz w:val="15"/>
                <w:szCs w:val="15"/>
              </w:rPr>
              <w:t xml:space="preserve">Rango donde la extrapolación sitúa la posible frontera</w:t>
            </w:r>
          </w:p>
        </w:tc>
        <w:tc>
          <w:tcPr>
            <w:tcW w:type="dxa" w:w="2400"/>
            <w:tcMar>
              <w:top w:type="dxa" w:w="50"/>
              <w:left w:type="dxa" w:w="85"/>
              <w:bottom w:type="dxa" w:w="50"/>
              <w:right w:type="dxa" w:w="85"/>
            </w:tcMar>
          </w:tcPr>
          <w:p>
            <w:pPr>
              <w:jc w:val="center"/>
            </w:pPr>
            <w:r>
              <w:rPr>
                <w:b w:val="false"/>
                <w:bCs w:val="false"/>
                <w:sz w:val="15"/>
                <w:szCs w:val="15"/>
              </w:rPr>
              <w:t xml:space="preserve">Esta etapa</w:t>
            </w:r>
          </w:p>
        </w:tc>
      </w:tr>
    </w:tbl>
    <w:p>
      <w:pPr>
        <w:spacing w:after="160"/>
      </w:pPr>
    </w:p>
    <w:p>
      <w:pPr>
        <w:spacing w:after="120"/>
      </w:pPr>
      <w:r>
        <w:t xml:space="preserve">Los índices de umbral no cambian en esta etapa, porque M permanece en 40 y por tanto n_calib = 20 y los índices siguen siendo {6, 10, 16, 18, 19}, con las coberturas esperadas de la § 2.2 del Borrador 8 de v7.7-b. Eso se verifica igualmente como puerta, por costo nulo.</w:t>
      </w:r>
    </w:p>
    <w:p>
      <w:pPr>
        <w:spacing w:after="120"/>
      </w:pPr>
      <w:r>
        <w:rPr>
          <w:b/>
          <w:bCs/>
        </w:rPr>
        <w:t xml:space="preserve">Papel real de H = 2, declarado. </w:t>
      </w:r>
      <w:r>
        <w:t xml:space="preserve">Con espaciado constante, los veinte snapshots de H = 2 evalúan exactamente los mismos instantes que los veinte primeros de H = 4. Si el integrador es independiente del camino —propiedad que la puerta G14 somete a prueba—, H = 2 no produce ninguna medición que H = 4 no contenga. No es, por tanto, un segundo nivel de la variable, y presentarlo como tal sería inexacto: es un punto de control intermedio. Se conserva por dos funciones que sí cumple. Primera, entrega resultados a veinte snapshots en un tercio del tiempo, de modo que una eventual frontera temprana se detecta sin comprometer el brazo largo. Segunda, su redundancia con H = 4 es verificable y se convierte en la puerta G17 de la § 3.1.</w:t>
      </w:r>
    </w:p>
    <w:p>
      <w:pPr>
        <w:pStyle w:val="Heading2"/>
        <w:spacing w:after="140" w:before="280"/>
      </w:pPr>
      <w:r>
        <w:t xml:space="preserve">2.3 Dataset y brazos (D4)</w:t>
      </w:r>
    </w:p>
    <w:p>
      <w:pPr>
        <w:spacing w:after="120"/>
      </w:pPr>
      <w:r>
        <w:t xml:space="preserve">Mismo dataset de 60 configuraciones y mismas semillas de v7.7-a y v7.7-b, con el hash canónico registrado en la condición C4 del Acta 01. Brazo principal en H = 2 y H = 4.</w:t>
      </w:r>
    </w:p>
    <w:p>
      <w:pPr>
        <w:spacing w:after="120"/>
      </w:pPr>
      <w:r>
        <w:rPr>
          <w:b/>
          <w:bCs/>
        </w:rPr>
        <w:t xml:space="preserve">Sin brazo de control en esta etapa, por primera vez en el programa. </w:t>
      </w:r>
      <w:r>
        <w:t xml:space="preserve">La decisión exige fundamentación porque el control negativo ha sido una pieza estable de todas las etapas anteriores. Las razones son tres y se declaran íntegras. Primera: las tres magnitudes que esta etapa mide —varianza explicada, dimensión efectiva y radio de la envolvente— son propiedades del ensemble y del análisis de componentes, idénticas en ambos brazos por construcción, de modo que el control no puede aportar información alguna sobre el criterio primario ni sobre la agudeza relativa. Segunda: su único aporte posible sería sobre cobertura, donde su fallo lleva ocho replicaciones consecutivas y la novena no agregaría evidencia. Tercera: en v7.7-b el control no se corrió con M = 40, de modo que no existe referencia previa contra la cual verificar su regresión, y una puerta sin referencia es una puerta inaplicable.</w:t>
      </w:r>
    </w:p>
    <w:p>
      <w:pPr>
        <w:spacing w:after="120"/>
      </w:pPr>
      <w:r>
        <w:t xml:space="preserve">Se hace constar el costo de esta decisión: la etapa pierde la capacidad de descartar que una eventual frontera de cobertura sea artefacto del brazo principal. Ese riesgo se considera bajo porque el criterio primario no es de cobertura, pero queda registrado como límite de atribución para el informe de resultados.</w:t>
      </w:r>
    </w:p>
    <w:p>
      <w:pPr>
        <w:pStyle w:val="Heading1"/>
        <w:spacing w:after="140" w:before="280"/>
      </w:pPr>
      <w:r>
        <w:t xml:space="preserve">3. Puertas y criterios</w:t>
      </w:r>
    </w:p>
    <w:p>
      <w:pPr>
        <w:pStyle w:val="Heading2"/>
        <w:spacing w:after="140" w:before="280"/>
      </w:pPr>
      <w:r>
        <w:t xml:space="preserve">3.1 Puertas</w:t>
      </w:r>
    </w:p>
    <w:p>
      <w:pPr>
        <w:spacing w:after="120"/>
      </w:pPr>
      <w:r>
        <w:rPr>
          <w:b/>
          <w:bCs/>
        </w:rPr>
        <w:t xml:space="preserve">G14 — puerta de regresión de horizonte (aborta el experimento): </w:t>
      </w:r>
      <w:r>
        <w:t xml:space="preserve">los primeros diez snapshots del brazo principal, en cada valor de H, deben reproducir el stage M = 40 de v7.7-b por configuración y por celda, con tolerancia absoluta declarada de 1e-12 sobre cobertura empírica y radio conformal, emparejando por config_id, snapshot, split_id y nivel. El artefacto de referencia es mtps_c_v7_7b_table_long.csv filtrada a M = 40 y modo principal, cuyo SHA-256 consta en el Acta de Cierre de v7.7-b. Se hace constar que esta puerta verifica además una propiedad no trivial del integrador: que prolongar la integración no altera los valores en los instantes anteriores. Si G14 falla, la comparación entre horizontes carece de base y nada de lo demás es interpretable.</w:t>
      </w:r>
    </w:p>
    <w:p>
      <w:pPr>
        <w:spacing w:after="120"/>
      </w:pPr>
      <w:r>
        <w:rPr>
          <w:b/>
          <w:bCs/>
        </w:rPr>
        <w:t xml:space="preserve">G17 — independencia de camino entre horizontes (aborta el experimento): </w:t>
      </w:r>
      <w:r>
        <w:t xml:space="preserve">los snapshots 1 a 19 del brazo H = 2 deben reproducir los snapshots 1 a 19 del brazo H = 4, por configuración y por celda, con tolerancia de 1e-12. La puerta no cuesta cómputo, porque ambos brazos se corren de todas formas, y somete la independencia de camino del integrador a una prueba sobre un tramo casi el doble de largo que el de G14. Es la verificación que corresponde: en un integrador de paso adaptativo, la elección del paso puede depender del intervalo total de integración, en cuyo caso extender el horizonte alteraría los valores en los instantes anteriores y toda comparación entre H quedaría sin base.</w:t>
      </w:r>
    </w:p>
    <w:p>
      <w:pPr>
        <w:spacing w:after="120"/>
      </w:pPr>
      <w:r>
        <w:rPr>
          <w:b/>
          <w:bCs/>
        </w:rPr>
        <w:t xml:space="preserve">Alcance acotado por anticipado: el snapshot 20 queda fuera de la puerta. </w:t>
      </w:r>
      <w:r>
        <w:t xml:space="preserve">El snapshot 20 es el instante final de integración de H = 2 y un punto intermedio de H = 4. Un integrador de paso adaptativo ajusta su último paso para aterrizar exactamente en el instante terminal, y ese ajuste no ocurre cuando el mismo instante se alcanza de paso; una diferencia numérica en ese punto sería un artefacto conocido del solver y no una divergencia del método. Se declara por tanto, antes de correr, que el snapshot 20 se reporta con su diferencia y no aborta. El alcance de la puerta queda definido por la estructura del experimento —cuál snapshot es frontera de integración— y no por el tamaño de la discrepancia observada, precisamente para no introducir el primer criterio del programa cuyo umbral se decidiera después de ver el resultado.</w:t>
      </w:r>
    </w:p>
    <w:p>
      <w:pPr>
        <w:spacing w:after="120"/>
      </w:pPr>
      <w:r>
        <w:rPr>
          <w:b/>
          <w:bCs/>
        </w:rPr>
        <w:t xml:space="preserve">Constancia simétrica sobre G14. </w:t>
      </w:r>
      <w:r>
        <w:t xml:space="preserve">El snapshot 10 es la frontera de integración de H = 1 en la referencia de v7.7-b. El riesgo es menor que en G17, porque aquella corrida también terminaba en ese instante y la comparación se hace entre dos integraciones que lo tratan igual, pero se registra la misma constancia por simetría: si G14 fallara únicamente en el snapshot 10, la discrepancia se reporta y se investiga sin abortar. Un fallo en cualquiera de los snapshots 1 a 9 aborta.</w:t>
      </w:r>
    </w:p>
    <w:p>
      <w:pPr>
        <w:spacing w:after="120"/>
      </w:pPr>
      <w:r>
        <w:rPr>
          <w:b/>
          <w:bCs/>
        </w:rPr>
        <w:t xml:space="preserve">G15 — identidad del dataset (aborta el par): </w:t>
      </w:r>
      <w:r>
        <w:t xml:space="preserve">al inicio de cada par (brazo, H), el runner recalcula el hash canónico del conjunto de configuraciones con la serialización estable definida en la § 5 del Acta 01 y aborta si difiere del valor registrado. Idéntica en mecánica a G13 de v7.7-b.</w:t>
      </w:r>
    </w:p>
    <w:p>
      <w:pPr>
        <w:spacing w:after="120"/>
      </w:pPr>
      <w:r>
        <w:rPr>
          <w:b/>
          <w:bCs/>
        </w:rPr>
        <w:t xml:space="preserve">G16 — índices prerregistrados (aborta el par): </w:t>
      </w:r>
      <w:r>
        <w:t xml:space="preserve">antes de evaluar cobertura alguna, el consolidador afirma que los índices de umbral producidos por n_calib = piso(M/2) con M = 40 coinciden con {6, 10, 16, 18, 19}. No cuesta cómputo y descarta que la enmienda de horizonte haya alterado el esquema conformal.</w:t>
      </w:r>
    </w:p>
    <w:p>
      <w:pPr>
        <w:pStyle w:val="Heading2"/>
        <w:spacing w:after="140" w:before="280"/>
      </w:pPr>
      <w:r>
        <w:t xml:space="preserve">3.2 Criterio estructural — primario (D2, D3)</w:t>
      </w:r>
    </w:p>
    <w:p>
      <w:pPr>
        <w:spacing w:after="120"/>
      </w:pPr>
      <w:r>
        <w:t xml:space="preserve">El criterio primario de esta etapa no es la calibración sino la vigencia del régimen geométrico en que el instrumento resulta más informativo. Si el ensemble deja de concentrar el 95 % de su varianza en las dos primeras componentes, se pierde la hipótesis de compresión bidimensional que hace al método particularmente informativo; el método puede seguir operando con más componentes, pero cambia de régimen geométrico, y ese cambio ocurre con independencia de que la cobertura siga siendo válida.</w:t>
      </w:r>
    </w:p>
    <w:p>
      <w:pPr>
        <w:spacing w:after="120"/>
      </w:pPr>
      <w:r>
        <w:rPr>
          <w:b/>
          <w:bCs/>
        </w:rPr>
        <w:t xml:space="preserve">Alcance preciso de lo que significa cruzar este criterio. </w:t>
      </w:r>
      <w:r>
        <w:t xml:space="preserve">El módulo no está atado a dos componentes: elige d_eff_raw para alcanzar su umbral de varianza y opera sobre d_eff_model. En consecuencia, el incumplimiento de C12.a no debe leerse como que el análisis de componentes y el score kNN dejen de funcionar, sino como la frontera de compresibilidad bidimensional del ensemble. Esta precisión se registra porque determina cómo debe interpretarse el resultado de la etapa: cruzar C12.a acota el régimen en que el instrumento es más informativo, no declara su invalidez.</w:t>
      </w:r>
    </w:p>
    <w:p>
      <w:pPr>
        <w:spacing w:after="120"/>
      </w:pPr>
      <w:r>
        <w:rPr>
          <w:b/>
          <w:bCs/>
        </w:rPr>
        <w:t xml:space="preserve">C12.a (vinculante): varianza explicada por una base fija de dos componentes. </w:t>
      </w:r>
      <w:r>
        <w:t xml:space="preserve">Se reporta, por celda y por snapshot, la fracción de varianza del ensemble retenida por las dos primeras componentes principales. El criterio se cumple mientras la mediana sobre configuraciones se mantenga en 0,95 o más. La base es fija en dos componentes y no adaptativa.</w:t>
      </w:r>
    </w:p>
    <w:p>
      <w:pPr>
        <w:spacing w:after="120"/>
      </w:pPr>
      <w:r>
        <w:rPr>
          <w:b/>
          <w:bCs/>
        </w:rPr>
        <w:t xml:space="preserve">Por qué la base tiene que ser fija. </w:t>
      </w:r>
      <w:r>
        <w:t xml:space="preserve">El módulo congelado elige el número de componentes como el mínimo necesario para alcanzar un umbral de varianza de 0,95, y luego lo acota por abajo en dos. En consecuencia, la varianza explicada por las componentes efectivamente usadas es mayor o igual a 0,95 por construcción, y un criterio formulado sobre ella jamás podría fallar. Sería el mismo defecto que C11.f(i) arrastra desde v7.6-b, criterio que lleva cuatro ciclos sin acercarse a su umbral. Medida sobre una base fija de dos componentes, la magnitud sí puede caer, y su caída es exactamente el enunciado de que el ensemble dejó de vivir en dos dimensiones.</w:t>
      </w:r>
    </w:p>
    <w:p>
      <w:pPr>
        <w:spacing w:after="120"/>
      </w:pPr>
      <w:r>
        <w:rPr>
          <w:b/>
          <w:bCs/>
        </w:rPr>
        <w:t xml:space="preserve">Procedencia del umbral. </w:t>
      </w:r>
      <w:r>
        <w:t xml:space="preserve">El valor 0,95 no se calibra para esta etapa: es la constante PCA_VAR_THRESHOLD del método congelado desde v7.5-b. El criterio se lee por tanto como la pregunta de si el ensemble sigue satisfaciendo, con la dimensión que el método asume, el umbral de varianza que el propio método fija. Se evita así calibrar un umbral sobre el comportamiento ya conocido del horizonte de referencia.</w:t>
      </w:r>
    </w:p>
    <w:p>
      <w:pPr>
        <w:spacing w:after="120"/>
      </w:pPr>
      <w:r>
        <w:rPr>
          <w:b/>
          <w:bCs/>
        </w:rPr>
        <w:t xml:space="preserve">Capacidad de morder, verificada sobre datos existentes. </w:t>
      </w:r>
      <w:r>
        <w:t xml:space="preserve">La magnitud equivalente disponible en las salidas de v7.7-b es d_eff_raw, el número de componentes que el método necesita para alcanzar 0,95; la condición de C12.a se cumple exactamente cuando d_eff_raw es menor o igual a dos. Su mediana pasa de 1 en el snapshot 1 a 2 en el snapshot 10, de modo que el criterio se cumple hoy pero con margen decreciente, y la extrapolación lo sitúa incumplido dentro del rango explorado. El criterio puede fallar y no está construido para pasar.</w:t>
      </w:r>
    </w:p>
    <w:p>
      <w:pPr>
        <w:pStyle w:val="Heading2"/>
        <w:spacing w:after="140" w:before="280"/>
      </w:pPr>
      <w:r>
        <w:t xml:space="preserve">3.3 Criterios de utilidad y calibración</w:t>
      </w:r>
    </w:p>
    <w:p>
      <w:pPr>
        <w:spacing w:after="120"/>
      </w:pPr>
      <w:r>
        <w:rPr>
          <w:b/>
          <w:bCs/>
        </w:rPr>
        <w:t xml:space="preserve">C12.b (instrumental): agudeza relativa. </w:t>
      </w:r>
      <w:r>
        <w:t xml:space="preserve">El cociente τ / radio envolvente, calculado de forma directa y reportado por snapshot y por H. Mide si la región crece más rápido que la dispersión natural del sistema. Se reporta con su tendencia, sin umbral vinculante.</w:t>
      </w:r>
    </w:p>
    <w:p>
      <w:pPr>
        <w:spacing w:after="120"/>
      </w:pPr>
      <w:r>
        <w:rPr>
          <w:b/>
          <w:bCs/>
        </w:rPr>
        <w:t xml:space="preserve">Por qué C12.b no es vinculante. </w:t>
      </w:r>
      <w:r>
        <w:t xml:space="preserve">El único umbral natural de esta magnitud es la unidad: una región conformal más ancha que la propia envolvente del ensemble habría dejado de aportar sobre el simple enunciado de la dispersión. Los valores observados en el horizonte de referencia van de 0,0705 a 0,0857, y al ritmo medido la unidad quedaría más de cien snapshots fuera del rango explorado. Un criterio vinculante con un umbral inalcanzable sería decorativo, que es precisamente el defecto que el programa viene corrigiendo. Cualquier otro umbral tendría que inventarse sobre el comportamiento ya conocido. Se prefiere declararlo instrumental antes que darle una apariencia de exigencia que no tendría.</w:t>
      </w:r>
    </w:p>
    <w:p>
      <w:pPr>
        <w:spacing w:after="120"/>
      </w:pPr>
      <w:r>
        <w:rPr>
          <w:b/>
          <w:bCs/>
        </w:rPr>
        <w:t xml:space="preserve">C12.c (vinculante): calibración sostenida. </w:t>
      </w:r>
      <w:r>
        <w:t xml:space="preserve">5/5 niveles con ErrCal ≤ 10 pp respecto del nominal, evaluado por bloques de diez snapshots, en los dos valores de H. Es el criterio heredado de las etapas anteriores y aquí pasa a secundario: su incumplimiento sería una frontera de calibración, resultado legítimo de la etapa.</w:t>
      </w:r>
    </w:p>
    <w:p>
      <w:pPr>
        <w:spacing w:after="120"/>
      </w:pPr>
      <w:r>
        <w:rPr>
          <w:b/>
          <w:bCs/>
        </w:rPr>
        <w:t xml:space="preserve">C12.d (instrumental): magnitud absoluta. </w:t>
      </w:r>
      <w:r>
        <w:t xml:space="preserve">Se reporta la mediana de τ por snapshot y por H, sin umbral vinculante. Una región once veces mayor puede ser inservible para un usuario aunque esté perfectamente calibrada, pero el umbral de utilidad absoluta depende de la aplicación y no puede fijarse dentro de esta etapa sin arbitrariedad. Se registra para que una etapa aplicada pueda fijarlo con su propio criterio.</w:t>
      </w:r>
    </w:p>
    <w:p>
      <w:pPr>
        <w:spacing w:after="120"/>
      </w:pPr>
      <w:r>
        <w:rPr>
          <w:b/>
          <w:bCs/>
        </w:rPr>
        <w:t xml:space="preserve">C12.e (instrumental): dimensión efectiva. </w:t>
      </w:r>
      <w:r>
        <w:t xml:space="preserve">Media, mediana y distribución de d_eff_raw y de d_eff_model por snapshot y por H. d_eff_raw es el indicador discreto de la misma propiedad que mide C12.a y acompaña su lectura; d_eff_model, acotado por abajo en dos, es menos sensible y se reporta por continuidad con las etapas anteriores.</w:t>
      </w:r>
    </w:p>
    <w:p>
      <w:pPr>
        <w:pStyle w:val="Heading2"/>
        <w:spacing w:after="140" w:before="280"/>
      </w:pPr>
      <w:r>
        <w:t xml:space="preserve">3.4 Reportes obligatorios</w:t>
      </w:r>
    </w:p>
    <w:p>
      <w:pPr>
        <w:spacing w:after="120"/>
      </w:pPr>
      <w:r>
        <w:t xml:space="preserve">Esta etapa exige tres magnitudes que las salidas actuales no registran y que deben incorporarse al módulo como reporte, dentro del alcance declarado de la enmienda:</w:t>
      </w:r>
    </w:p>
    <w:p>
      <w:pPr>
        <w:pStyle w:val="ListParagraph"/>
        <w:numPr>
          <w:ilvl w:val="0"/>
          <w:numId w:val="1"/>
        </w:numPr>
        <w:spacing w:after="120"/>
      </w:pPr>
      <w:r>
        <w:t xml:space="preserve">la fracción de varianza explicada por las dos primeras componentes principales, con base fija y no adaptativa, por celda;</w:t>
      </w:r>
    </w:p>
    <w:p>
      <w:pPr>
        <w:pStyle w:val="ListParagraph"/>
        <w:numPr>
          <w:ilvl w:val="0"/>
          <w:numId w:val="1"/>
        </w:numPr>
        <w:spacing w:after="120"/>
      </w:pPr>
      <w:r>
        <w:t xml:space="preserve">el radio de la envolvente del ensemble, por celda, de modo que el cociente τ / radio quede disponible de forma directa y no reconstruido desde un proxy con exponente variable;</w:t>
      </w:r>
    </w:p>
    <w:p>
      <w:pPr>
        <w:pStyle w:val="ListParagraph"/>
        <w:numPr>
          <w:ilvl w:val="0"/>
          <w:numId w:val="1"/>
        </w:numPr>
        <w:spacing w:after="120"/>
      </w:pPr>
      <w:r>
        <w:t xml:space="preserve">la escalera de τ por nivel y snapshot, ya presente en v7.7-b y aquí extendida al eje temporal.</w:t>
      </w:r>
    </w:p>
    <w:p>
      <w:pPr>
        <w:pStyle w:val="Heading2"/>
        <w:spacing w:after="140" w:before="280"/>
      </w:pPr>
      <w:r>
        <w:t xml:space="preserve">3.5 Estado de los umbrales</w:t>
      </w:r>
    </w:p>
    <w:p>
      <w:pPr>
        <w:spacing w:after="120"/>
      </w:pPr>
      <w:r>
        <w:t xml:space="preserve">Tras la reformulación de la § 3.2, el único criterio vinculante de naturaleza estructural es C12.a, y su umbral queda fijado en 0,95 con procedencia declarada: es la constante del método congelado, no un valor calibrado para esta etapa. C12.c conserva el umbral de 10 pp heredado de las etapas anteriores.</w:t>
      </w:r>
    </w:p>
    <w:p>
      <w:pPr>
        <w:spacing w:after="120"/>
      </w:pPr>
      <w:r>
        <w:rPr>
          <w:b/>
          <w:bCs/>
        </w:rPr>
        <w:t xml:space="preserve">Ningún umbral de esta etapa se calibra sobre el comportamiento observado del horizonte de referencia. </w:t>
      </w:r>
      <w:r>
        <w:t xml:space="preserve">Se dispone de ese comportamiento —τ/radio crece 22 % y d_eff_raw un 40 % sobre diez snapshots— y esa disponibilidad es justamente el riesgo: fijar un umbral apenas por encima de esos valores garantizaría que el rango explorado lo cumpla, y fijarlo apenas por debajo garantizaría que falle. En ambos casos el experimento dejaría de ser informativo. La solución adoptada es tomar el umbral del propio método congelado para el criterio vinculante, y declarar instrumental aquella magnitud cuyo único umbral natural resulta inalcanzable dentro del rango.</w:t>
      </w:r>
    </w:p>
    <w:p>
      <w:pPr>
        <w:pStyle w:val="Heading2"/>
        <w:spacing w:after="140" w:before="280"/>
      </w:pPr>
      <w:r>
        <w:t xml:space="preserve">3.6 Predicción prerregistrada</w:t>
      </w:r>
    </w:p>
    <w:p>
      <w:pPr>
        <w:spacing w:after="120"/>
      </w:pPr>
      <w:r>
        <w:t xml:space="preserve">Se registra antes de correr, siguiendo el precedente de la NT-01, cuya predicción central quedó cerrada 3/3 en v7.7-a. La predicción no forma parte de los criterios vinculantes y su incumplimiento no altera el veredicto de escenario: es contenido falsable adicional, y su valor está en que puede fallar.</w:t>
      </w:r>
    </w:p>
    <w:p>
      <w:pPr>
        <w:spacing w:after="120"/>
      </w:pPr>
      <w:r>
        <w:t xml:space="preserve">Si las tasas geométricas medidas por snapshot en el horizonte de referencia se mantuvieran —1,0383× para d_eff_raw y 1,0221× para el cociente τ / radio—, los valores esperados serían los siguientes:</w:t>
      </w:r>
    </w:p>
    <w:p>
      <w:pPr>
        <w:spacing w:after="16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tblGrid>
      <w:tr>
        <w:tc>
          <w:tcPr>
            <w:tcW w:type="dxa" w:w="1700"/>
            <w:shd w:fill="E8E8E8" w:val="clear"/>
            <w:tcMar>
              <w:top w:type="dxa" w:w="50"/>
              <w:left w:type="dxa" w:w="85"/>
              <w:bottom w:type="dxa" w:w="50"/>
              <w:right w:type="dxa" w:w="85"/>
            </w:tcMar>
          </w:tcPr>
          <w:p>
            <w:pPr>
              <w:jc w:val="center"/>
            </w:pPr>
            <w:r>
              <w:rPr>
                <w:b/>
                <w:bCs/>
                <w:sz w:val="17"/>
                <w:szCs w:val="17"/>
              </w:rPr>
              <w:t xml:space="preserve">Magnitud</w:t>
            </w:r>
          </w:p>
        </w:tc>
        <w:tc>
          <w:tcPr>
            <w:tcW w:type="dxa" w:w="1700"/>
            <w:shd w:fill="E8E8E8" w:val="clear"/>
            <w:tcMar>
              <w:top w:type="dxa" w:w="50"/>
              <w:left w:type="dxa" w:w="85"/>
              <w:bottom w:type="dxa" w:w="50"/>
              <w:right w:type="dxa" w:w="85"/>
            </w:tcMar>
          </w:tcPr>
          <w:p>
            <w:pPr>
              <w:jc w:val="center"/>
            </w:pPr>
            <w:r>
              <w:rPr>
                <w:b/>
                <w:bCs/>
                <w:sz w:val="17"/>
                <w:szCs w:val="17"/>
              </w:rPr>
              <w:t xml:space="preserve">Snapshot 10 (medido)</w:t>
            </w:r>
          </w:p>
        </w:tc>
        <w:tc>
          <w:tcPr>
            <w:tcW w:type="dxa" w:w="1700"/>
            <w:shd w:fill="E8E8E8" w:val="clear"/>
            <w:tcMar>
              <w:top w:type="dxa" w:w="50"/>
              <w:left w:type="dxa" w:w="85"/>
              <w:bottom w:type="dxa" w:w="50"/>
              <w:right w:type="dxa" w:w="85"/>
            </w:tcMar>
          </w:tcPr>
          <w:p>
            <w:pPr>
              <w:jc w:val="center"/>
            </w:pPr>
            <w:r>
              <w:rPr>
                <w:b/>
                <w:bCs/>
                <w:sz w:val="17"/>
                <w:szCs w:val="17"/>
              </w:rPr>
              <w:t xml:space="preserve">Snapshot 20 (predicho)</w:t>
            </w:r>
          </w:p>
        </w:tc>
        <w:tc>
          <w:tcPr>
            <w:tcW w:type="dxa" w:w="1700"/>
            <w:shd w:fill="E8E8E8" w:val="clear"/>
            <w:tcMar>
              <w:top w:type="dxa" w:w="50"/>
              <w:left w:type="dxa" w:w="85"/>
              <w:bottom w:type="dxa" w:w="50"/>
              <w:right w:type="dxa" w:w="85"/>
            </w:tcMar>
          </w:tcPr>
          <w:p>
            <w:pPr>
              <w:jc w:val="center"/>
            </w:pPr>
            <w:r>
              <w:rPr>
                <w:b/>
                <w:bCs/>
                <w:sz w:val="17"/>
                <w:szCs w:val="17"/>
              </w:rPr>
              <w:t xml:space="preserve">Snapshot 40 (predicho)</w:t>
            </w:r>
          </w:p>
        </w:tc>
      </w:tr>
      <w:tr>
        <w:tc>
          <w:tcPr>
            <w:tcW w:type="dxa" w:w="1700"/>
            <w:tcMar>
              <w:top w:type="dxa" w:w="50"/>
              <w:left w:type="dxa" w:w="85"/>
              <w:bottom w:type="dxa" w:w="50"/>
              <w:right w:type="dxa" w:w="85"/>
            </w:tcMar>
          </w:tcPr>
          <w:p>
            <w:pPr>
              <w:jc w:val="center"/>
            </w:pPr>
            <w:r>
              <w:rPr>
                <w:b w:val="false"/>
                <w:bCs w:val="false"/>
                <w:sz w:val="17"/>
                <w:szCs w:val="17"/>
              </w:rPr>
              <w:t xml:space="preserve">d_eff_raw media</w:t>
            </w:r>
          </w:p>
        </w:tc>
        <w:tc>
          <w:tcPr>
            <w:tcW w:type="dxa" w:w="1700"/>
            <w:tcMar>
              <w:top w:type="dxa" w:w="50"/>
              <w:left w:type="dxa" w:w="85"/>
              <w:bottom w:type="dxa" w:w="50"/>
              <w:right w:type="dxa" w:w="85"/>
            </w:tcMar>
          </w:tcPr>
          <w:p>
            <w:pPr>
              <w:jc w:val="center"/>
            </w:pPr>
            <w:r>
              <w:rPr>
                <w:b w:val="false"/>
                <w:bCs w:val="false"/>
                <w:sz w:val="17"/>
                <w:szCs w:val="17"/>
              </w:rPr>
              <w:t xml:space="preserve">2,38</w:t>
            </w:r>
          </w:p>
        </w:tc>
        <w:tc>
          <w:tcPr>
            <w:tcW w:type="dxa" w:w="1700"/>
            <w:tcMar>
              <w:top w:type="dxa" w:w="50"/>
              <w:left w:type="dxa" w:w="85"/>
              <w:bottom w:type="dxa" w:w="50"/>
              <w:right w:type="dxa" w:w="85"/>
            </w:tcMar>
          </w:tcPr>
          <w:p>
            <w:pPr>
              <w:jc w:val="center"/>
            </w:pPr>
            <w:r>
              <w:rPr>
                <w:b w:val="false"/>
                <w:bCs w:val="false"/>
                <w:sz w:val="17"/>
                <w:szCs w:val="17"/>
              </w:rPr>
              <w:t xml:space="preserve">3,47</w:t>
            </w:r>
          </w:p>
        </w:tc>
        <w:tc>
          <w:tcPr>
            <w:tcW w:type="dxa" w:w="1700"/>
            <w:tcMar>
              <w:top w:type="dxa" w:w="50"/>
              <w:left w:type="dxa" w:w="85"/>
              <w:bottom w:type="dxa" w:w="50"/>
              <w:right w:type="dxa" w:w="85"/>
            </w:tcMar>
          </w:tcPr>
          <w:p>
            <w:pPr>
              <w:jc w:val="center"/>
            </w:pPr>
            <w:r>
              <w:rPr>
                <w:b w:val="false"/>
                <w:bCs w:val="false"/>
                <w:sz w:val="17"/>
                <w:szCs w:val="17"/>
              </w:rPr>
              <w:t xml:space="preserve">7,35</w:t>
            </w:r>
          </w:p>
        </w:tc>
      </w:tr>
      <w:tr>
        <w:tc>
          <w:tcPr>
            <w:tcW w:type="dxa" w:w="1700"/>
            <w:tcMar>
              <w:top w:type="dxa" w:w="50"/>
              <w:left w:type="dxa" w:w="85"/>
              <w:bottom w:type="dxa" w:w="50"/>
              <w:right w:type="dxa" w:w="85"/>
            </w:tcMar>
          </w:tcPr>
          <w:p>
            <w:pPr>
              <w:jc w:val="center"/>
            </w:pPr>
            <w:r>
              <w:rPr>
                <w:b w:val="false"/>
                <w:bCs w:val="false"/>
                <w:sz w:val="17"/>
                <w:szCs w:val="17"/>
              </w:rPr>
              <w:t xml:space="preserve">τ / radio mediana</w:t>
            </w:r>
          </w:p>
        </w:tc>
        <w:tc>
          <w:tcPr>
            <w:tcW w:type="dxa" w:w="1700"/>
            <w:tcMar>
              <w:top w:type="dxa" w:w="50"/>
              <w:left w:type="dxa" w:w="85"/>
              <w:bottom w:type="dxa" w:w="50"/>
              <w:right w:type="dxa" w:w="85"/>
            </w:tcMar>
          </w:tcPr>
          <w:p>
            <w:pPr>
              <w:jc w:val="center"/>
            </w:pPr>
            <w:r>
              <w:rPr>
                <w:b w:val="false"/>
                <w:bCs w:val="false"/>
                <w:sz w:val="17"/>
                <w:szCs w:val="17"/>
              </w:rPr>
              <w:t xml:space="preserve">0,0857</w:t>
            </w:r>
          </w:p>
        </w:tc>
        <w:tc>
          <w:tcPr>
            <w:tcW w:type="dxa" w:w="1700"/>
            <w:tcMar>
              <w:top w:type="dxa" w:w="50"/>
              <w:left w:type="dxa" w:w="85"/>
              <w:bottom w:type="dxa" w:w="50"/>
              <w:right w:type="dxa" w:w="85"/>
            </w:tcMar>
          </w:tcPr>
          <w:p>
            <w:pPr>
              <w:jc w:val="center"/>
            </w:pPr>
            <w:r>
              <w:rPr>
                <w:b w:val="false"/>
                <w:bCs w:val="false"/>
                <w:sz w:val="17"/>
                <w:szCs w:val="17"/>
              </w:rPr>
              <w:t xml:space="preserve">0,107</w:t>
            </w:r>
          </w:p>
        </w:tc>
        <w:tc>
          <w:tcPr>
            <w:tcW w:type="dxa" w:w="1700"/>
            <w:tcMar>
              <w:top w:type="dxa" w:w="50"/>
              <w:left w:type="dxa" w:w="85"/>
              <w:bottom w:type="dxa" w:w="50"/>
              <w:right w:type="dxa" w:w="85"/>
            </w:tcMar>
          </w:tcPr>
          <w:p>
            <w:pPr>
              <w:jc w:val="center"/>
            </w:pPr>
            <w:r>
              <w:rPr>
                <w:b w:val="false"/>
                <w:bCs w:val="false"/>
                <w:sz w:val="17"/>
                <w:szCs w:val="17"/>
              </w:rPr>
              <w:t xml:space="preserve">0,165</w:t>
            </w:r>
          </w:p>
        </w:tc>
      </w:tr>
    </w:tbl>
    <w:p>
      <w:pPr>
        <w:spacing w:after="160"/>
      </w:pPr>
    </w:p>
    <w:p>
      <w:pPr>
        <w:spacing w:after="120"/>
      </w:pPr>
      <w:r>
        <w:t xml:space="preserve">La predicción se enuncia con su condición explícita: supone que la tasa de crecimiento se mantiene constante, y nada garantiza que así sea. Un aplanamiento indicaría que la pérdida de compresibilidad satura y que el instrumento tiene un régimen estable más amplio de lo que la extrapolación sugiere; una aceleración indicaría lo contrario. Cualquiera de los dos desvíos es información sobre la dinámica del sistema, no solo sobre el instrumento, y por eso el registro previo de la predicción tiene valor con independencia de si acierta.</w:t>
      </w:r>
    </w:p>
    <w:p>
      <w:pPr>
        <w:pStyle w:val="Heading1"/>
        <w:spacing w:after="140" w:before="280"/>
      </w:pPr>
      <w:r>
        <w:t xml:space="preserve">4. Escenarios y regla de consecuencia (D5)</w:t>
      </w:r>
    </w:p>
    <w:p>
      <w:pPr>
        <w:spacing w:after="120"/>
      </w:pPr>
      <w:r>
        <w:t xml:space="preserve">La lógica está invertida respecto de las etapas anteriores, conforme a la § 1. Medir la frontera es el resultado favorable.</w:t>
      </w:r>
    </w:p>
    <w:p>
      <w:pPr>
        <w:spacing w:after="120"/>
      </w:pPr>
      <w:r>
        <w:rPr>
          <w:b/>
          <w:bCs/>
        </w:rPr>
        <w:t xml:space="preserve">S12.1 — FRONTERA CARACTERIZADA: </w:t>
      </w:r>
      <w:r>
        <w:t xml:space="preserve">las cuatro puertas pasan y al menos uno de los dos criterios vinculantes —C12.a estructural o C12.c de calibración— deja de cumplirse dentro del rango explorado, en un snapshot identificable. El horizonte útil queda acotado empíricamente y se declara cuál de las dos propiedades se degrada primero, con el reporte instrumental de agudeza relativa como contexto. Consecuencia: el dominio operativo del instrumento queda caracterizado en su eje temporal, y la etapa aplicada hereda ese límite como parámetro de diseño.</w:t>
      </w:r>
    </w:p>
    <w:p>
      <w:pPr>
        <w:spacing w:after="120"/>
      </w:pPr>
      <w:r>
        <w:rPr>
          <w:b/>
          <w:bCs/>
        </w:rPr>
        <w:t xml:space="preserve">S12.2 — SIN FRONTERA EN EL RANGO: </w:t>
      </w:r>
      <w:r>
        <w:t xml:space="preserve">las cuatro puertas pasan y los dos criterios vinculantes se cumplen en los cuarenta snapshots. El resultado es una cota inferior del horizonte útil, no su caracterización. Consecuencia: se declara que el instrumento sostiene al menos cuatro veces el horizonte de referencia y se prerregistra la extensión del rango como etapa propia, con el presupuesto recalculado sobre el costo medido aquí.</w:t>
      </w:r>
    </w:p>
    <w:p>
      <w:pPr>
        <w:spacing w:after="120"/>
      </w:pPr>
      <w:r>
        <w:rPr>
          <w:b/>
          <w:bCs/>
        </w:rPr>
        <w:t xml:space="preserve">S12.3 — ANOMALÍA: </w:t>
      </w:r>
      <w:r>
        <w:t xml:space="preserve">G14, G15, G16 o G17 falla, o las mediciones resultan incoherentes con el horizonte de referencia de un modo no atribuible a la profundidad temporal. Alto e investigación; nada avanza.</w:t>
      </w:r>
    </w:p>
    <w:p>
      <w:pPr>
        <w:spacing w:after="120"/>
      </w:pPr>
      <w:r>
        <w:t xml:space="preserve">Se hace constar que S12.2 no es un fracaso. La diferencia entre S12.1 y S12.2 es la diferencia entre medir una frontera y establecer una cota, y ambas son información del dominio operativo. Lo que no sería aceptable es presentar una cota inferior como si fuera una caracterización.</w:t>
      </w:r>
    </w:p>
    <w:p>
      <w:pPr>
        <w:pStyle w:val="Heading1"/>
        <w:spacing w:after="140" w:before="280"/>
      </w:pPr>
      <w:r>
        <w:t xml:space="preserve">5. Análisis secundario prerregistrado (sin cómputo nuevo)</w:t>
      </w:r>
    </w:p>
    <w:p>
      <w:pPr>
        <w:spacing w:after="120"/>
      </w:pPr>
      <w:r>
        <w:t xml:space="preserve">Sobre las salidas de esta misma etapa, sin corridas adicionales: comparación de la tasa de crecimiento de d_eff entre los tres subconjuntos del dataset. El diagnóstico de la § 1.1 registró que el OOD cercano mostró un crecimiento de τ de 15,9× frente a 11,4× y 11,6× de los otros dos; con cuarenta snapshots puede establecerse si esa asimetría es señal o ruido. Exploratorio, no vinculante, sin veredicto.</w:t>
      </w:r>
    </w:p>
    <w:p>
      <w:pPr>
        <w:pStyle w:val="Heading1"/>
        <w:spacing w:after="140" w:before="280"/>
      </w:pPr>
      <w:r>
        <w:t xml:space="preserve">6. Ejecución y presupuesto</w:t>
      </w:r>
    </w:p>
    <w:p>
      <w:pPr>
        <w:spacing w:after="120"/>
      </w:pPr>
      <w:r>
        <w:t xml:space="preserve">Infraestructura estándar del programa: runner de checkpoints por configuración con candado de mount, escrituras atómicas, ckpt_c_h{2,4}/ y partial_c_h{H}.pkl en MyDrive/mtps_c/, módulo común derivado del congelado con diff mínimo declarado, y consolidador propio con G14 como primer paso.</w:t>
      </w:r>
    </w:p>
    <w:p>
      <w:pPr>
        <w:spacing w:after="120"/>
      </w:pPr>
      <w:r>
        <w:t xml:space="preserve">El costo de integración escala aproximadamente de forma lineal con el horizonte. El stage M = 40 de v7.7-b consumió 3,78 h con H = 1, y esa es la referencia medida sobre la que se calcula el presupuesto, con el mismo método que acertó en la etapa anterior:</w:t>
      </w:r>
    </w:p>
    <w:p>
      <w:pPr>
        <w:spacing w:after="16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200"/>
      </w:tblGrid>
      <w:tr>
        <w:tc>
          <w:tcPr>
            <w:tcW w:type="dxa" w:w="1600"/>
            <w:shd w:fill="E8E8E8" w:val="clear"/>
            <w:tcMar>
              <w:top w:type="dxa" w:w="50"/>
              <w:left w:type="dxa" w:w="85"/>
              <w:bottom w:type="dxa" w:w="50"/>
              <w:right w:type="dxa" w:w="85"/>
            </w:tcMar>
          </w:tcPr>
          <w:p>
            <w:pPr>
              <w:jc w:val="center"/>
            </w:pPr>
            <w:r>
              <w:rPr>
                <w:b/>
                <w:bCs/>
                <w:sz w:val="17"/>
                <w:szCs w:val="17"/>
              </w:rPr>
              <w:t xml:space="preserve">Brazo</w:t>
            </w:r>
          </w:p>
        </w:tc>
        <w:tc>
          <w:tcPr>
            <w:tcW w:type="dxa" w:w="1600"/>
            <w:shd w:fill="E8E8E8" w:val="clear"/>
            <w:tcMar>
              <w:top w:type="dxa" w:w="50"/>
              <w:left w:type="dxa" w:w="85"/>
              <w:bottom w:type="dxa" w:w="50"/>
              <w:right w:type="dxa" w:w="85"/>
            </w:tcMar>
          </w:tcPr>
          <w:p>
            <w:pPr>
              <w:jc w:val="center"/>
            </w:pPr>
            <w:r>
              <w:rPr>
                <w:b/>
                <w:bCs/>
                <w:sz w:val="17"/>
                <w:szCs w:val="17"/>
              </w:rPr>
              <w:t xml:space="preserve">H</w:t>
            </w:r>
          </w:p>
        </w:tc>
        <w:tc>
          <w:tcPr>
            <w:tcW w:type="dxa" w:w="2200"/>
            <w:shd w:fill="E8E8E8" w:val="clear"/>
            <w:tcMar>
              <w:top w:type="dxa" w:w="50"/>
              <w:left w:type="dxa" w:w="85"/>
              <w:bottom w:type="dxa" w:w="50"/>
              <w:right w:type="dxa" w:w="85"/>
            </w:tcMar>
          </w:tcPr>
          <w:p>
            <w:pPr>
              <w:jc w:val="center"/>
            </w:pPr>
            <w:r>
              <w:rPr>
                <w:b/>
                <w:bCs/>
                <w:sz w:val="17"/>
                <w:szCs w:val="17"/>
              </w:rPr>
              <w:t xml:space="preserve">Cómputo estimado</w:t>
            </w:r>
          </w:p>
        </w:tc>
        <w:tc>
          <w:tcPr>
            <w:tcW w:type="dxa" w:w="2200"/>
            <w:shd w:fill="E8E8E8" w:val="clear"/>
            <w:tcMar>
              <w:top w:type="dxa" w:w="50"/>
              <w:left w:type="dxa" w:w="85"/>
              <w:bottom w:type="dxa" w:w="50"/>
              <w:right w:type="dxa" w:w="85"/>
            </w:tcMar>
          </w:tcPr>
          <w:p>
            <w:pPr>
              <w:jc w:val="center"/>
            </w:pPr>
            <w:r>
              <w:rPr>
                <w:b/>
                <w:bCs/>
                <w:sz w:val="17"/>
                <w:szCs w:val="17"/>
              </w:rPr>
              <w:t xml:space="preserve">Subtotal</w:t>
            </w:r>
          </w:p>
        </w:tc>
      </w:tr>
      <w:tr>
        <w:tc>
          <w:tcPr>
            <w:tcW w:type="dxa" w:w="1600"/>
            <w:tcMar>
              <w:top w:type="dxa" w:w="50"/>
              <w:left w:type="dxa" w:w="85"/>
              <w:bottom w:type="dxa" w:w="50"/>
              <w:right w:type="dxa" w:w="85"/>
            </w:tcMar>
          </w:tcPr>
          <w:p>
            <w:pPr>
              <w:jc w:val="center"/>
            </w:pPr>
            <w:r>
              <w:rPr>
                <w:b w:val="false"/>
                <w:bCs w:val="false"/>
                <w:sz w:val="17"/>
                <w:szCs w:val="17"/>
              </w:rPr>
              <w:t xml:space="preserve">Principal</w:t>
            </w:r>
          </w:p>
        </w:tc>
        <w:tc>
          <w:tcPr>
            <w:tcW w:type="dxa" w:w="1600"/>
            <w:tcMar>
              <w:top w:type="dxa" w:w="50"/>
              <w:left w:type="dxa" w:w="85"/>
              <w:bottom w:type="dxa" w:w="50"/>
              <w:right w:type="dxa" w:w="85"/>
            </w:tcMar>
          </w:tcPr>
          <w:p>
            <w:pPr>
              <w:jc w:val="center"/>
            </w:pPr>
            <w:r>
              <w:rPr>
                <w:b w:val="false"/>
                <w:bCs w:val="false"/>
                <w:sz w:val="17"/>
                <w:szCs w:val="17"/>
              </w:rPr>
              <w:t xml:space="preserve">2</w:t>
            </w:r>
          </w:p>
        </w:tc>
        <w:tc>
          <w:tcPr>
            <w:tcW w:type="dxa" w:w="2200"/>
            <w:tcMar>
              <w:top w:type="dxa" w:w="50"/>
              <w:left w:type="dxa" w:w="85"/>
              <w:bottom w:type="dxa" w:w="50"/>
              <w:right w:type="dxa" w:w="85"/>
            </w:tcMar>
          </w:tcPr>
          <w:p>
            <w:pPr>
              <w:jc w:val="center"/>
            </w:pPr>
            <w:r>
              <w:rPr>
                <w:b w:val="false"/>
                <w:bCs w:val="false"/>
                <w:sz w:val="17"/>
                <w:szCs w:val="17"/>
              </w:rPr>
              <w:t xml:space="preserve">≈ 7,6 h</w:t>
            </w:r>
          </w:p>
        </w:tc>
        <w:tc>
          <w:tcPr>
            <w:tcW w:type="dxa" w:w="2200"/>
            <w:tcMar>
              <w:top w:type="dxa" w:w="50"/>
              <w:left w:type="dxa" w:w="85"/>
              <w:bottom w:type="dxa" w:w="50"/>
              <w:right w:type="dxa" w:w="85"/>
            </w:tcMar>
          </w:tcPr>
          <w:p>
            <w:pPr>
              <w:jc w:val="center"/>
            </w:pPr>
            <w:r>
              <w:rPr>
                <w:b w:val="false"/>
                <w:bCs w:val="false"/>
                <w:sz w:val="17"/>
                <w:szCs w:val="17"/>
              </w:rPr>
              <w:t xml:space="preserve">≈ 7,6 h</w:t>
            </w:r>
          </w:p>
        </w:tc>
      </w:tr>
      <w:tr>
        <w:tc>
          <w:tcPr>
            <w:tcW w:type="dxa" w:w="1600"/>
            <w:tcMar>
              <w:top w:type="dxa" w:w="50"/>
              <w:left w:type="dxa" w:w="85"/>
              <w:bottom w:type="dxa" w:w="50"/>
              <w:right w:type="dxa" w:w="85"/>
            </w:tcMar>
          </w:tcPr>
          <w:p>
            <w:pPr>
              <w:jc w:val="center"/>
            </w:pPr>
            <w:r>
              <w:rPr>
                <w:b w:val="false"/>
                <w:bCs w:val="false"/>
                <w:sz w:val="17"/>
                <w:szCs w:val="17"/>
              </w:rPr>
              <w:t xml:space="preserve">Principal</w:t>
            </w:r>
          </w:p>
        </w:tc>
        <w:tc>
          <w:tcPr>
            <w:tcW w:type="dxa" w:w="1600"/>
            <w:tcMar>
              <w:top w:type="dxa" w:w="50"/>
              <w:left w:type="dxa" w:w="85"/>
              <w:bottom w:type="dxa" w:w="50"/>
              <w:right w:type="dxa" w:w="85"/>
            </w:tcMar>
          </w:tcPr>
          <w:p>
            <w:pPr>
              <w:jc w:val="center"/>
            </w:pPr>
            <w:r>
              <w:rPr>
                <w:b w:val="false"/>
                <w:bCs w:val="false"/>
                <w:sz w:val="17"/>
                <w:szCs w:val="17"/>
              </w:rPr>
              <w:t xml:space="preserve">4</w:t>
            </w:r>
          </w:p>
        </w:tc>
        <w:tc>
          <w:tcPr>
            <w:tcW w:type="dxa" w:w="2200"/>
            <w:tcMar>
              <w:top w:type="dxa" w:w="50"/>
              <w:left w:type="dxa" w:w="85"/>
              <w:bottom w:type="dxa" w:w="50"/>
              <w:right w:type="dxa" w:w="85"/>
            </w:tcMar>
          </w:tcPr>
          <w:p>
            <w:pPr>
              <w:jc w:val="center"/>
            </w:pPr>
            <w:r>
              <w:rPr>
                <w:b w:val="false"/>
                <w:bCs w:val="false"/>
                <w:sz w:val="17"/>
                <w:szCs w:val="17"/>
              </w:rPr>
              <w:t xml:space="preserve">≈ 15,1 h</w:t>
            </w:r>
          </w:p>
        </w:tc>
        <w:tc>
          <w:tcPr>
            <w:tcW w:type="dxa" w:w="2200"/>
            <w:tcMar>
              <w:top w:type="dxa" w:w="50"/>
              <w:left w:type="dxa" w:w="85"/>
              <w:bottom w:type="dxa" w:w="50"/>
              <w:right w:type="dxa" w:w="85"/>
            </w:tcMar>
          </w:tcPr>
          <w:p>
            <w:pPr>
              <w:jc w:val="center"/>
            </w:pPr>
            <w:r>
              <w:rPr>
                <w:b w:val="false"/>
                <w:bCs w:val="false"/>
                <w:sz w:val="17"/>
                <w:szCs w:val="17"/>
              </w:rPr>
              <w:t xml:space="preserve">≈ 15,1 h</w:t>
            </w:r>
          </w:p>
        </w:tc>
      </w:tr>
      <w:tr>
        <w:tc>
          <w:tcPr>
            <w:tcW w:type="dxa" w:w="1600"/>
            <w:tcMar>
              <w:top w:type="dxa" w:w="50"/>
              <w:left w:type="dxa" w:w="85"/>
              <w:bottom w:type="dxa" w:w="50"/>
              <w:right w:type="dxa" w:w="85"/>
            </w:tcMar>
          </w:tcPr>
          <w:p>
            <w:pPr>
              <w:jc w:val="center"/>
            </w:pPr>
            <w:r>
              <w:rPr>
                <w:b w:val="false"/>
                <w:bCs w:val="false"/>
                <w:sz w:val="17"/>
                <w:szCs w:val="17"/>
              </w:rPr>
              <w:t xml:space="preserve">Total</w:t>
            </w:r>
          </w:p>
        </w:tc>
        <w:tc>
          <w:tcPr>
            <w:tcW w:type="dxa" w:w="1600"/>
            <w:tcMar>
              <w:top w:type="dxa" w:w="50"/>
              <w:left w:type="dxa" w:w="85"/>
              <w:bottom w:type="dxa" w:w="50"/>
              <w:right w:type="dxa" w:w="85"/>
            </w:tcMar>
          </w:tcPr>
          <w:p>
            <w:pPr>
              <w:jc w:val="center"/>
            </w:pPr>
            <w:r>
              <w:rPr>
                <w:b w:val="false"/>
                <w:bCs w:val="false"/>
                <w:sz w:val="17"/>
                <w:szCs w:val="17"/>
              </w:rPr>
              <w:t xml:space="preserve">—</w:t>
            </w:r>
          </w:p>
        </w:tc>
        <w:tc>
          <w:tcPr>
            <w:tcW w:type="dxa" w:w="2200"/>
            <w:tcMar>
              <w:top w:type="dxa" w:w="50"/>
              <w:left w:type="dxa" w:w="85"/>
              <w:bottom w:type="dxa" w:w="50"/>
              <w:right w:type="dxa" w:w="85"/>
            </w:tcMar>
          </w:tcPr>
          <w:p>
            <w:pPr>
              <w:jc w:val="center"/>
            </w:pPr>
            <w:r>
              <w:rPr>
                <w:b w:val="false"/>
                <w:bCs w:val="false"/>
                <w:sz w:val="17"/>
                <w:szCs w:val="17"/>
              </w:rPr>
              <w:t xml:space="preserve">≈ 22,7 h</w:t>
            </w:r>
          </w:p>
        </w:tc>
        <w:tc>
          <w:tcPr>
            <w:tcW w:type="dxa" w:w="2200"/>
            <w:tcMar>
              <w:top w:type="dxa" w:w="50"/>
              <w:left w:type="dxa" w:w="85"/>
              <w:bottom w:type="dxa" w:w="50"/>
              <w:right w:type="dxa" w:w="85"/>
            </w:tcMar>
          </w:tcPr>
          <w:p>
            <w:pPr>
              <w:jc w:val="center"/>
            </w:pPr>
            <w:r>
              <w:rPr>
                <w:b w:val="false"/>
                <w:bCs w:val="false"/>
                <w:sz w:val="17"/>
                <w:szCs w:val="17"/>
              </w:rPr>
              <w:t xml:space="preserve">17–28 h con ±25 %</w:t>
            </w:r>
          </w:p>
        </w:tc>
      </w:tr>
    </w:tbl>
    <w:p>
      <w:pPr>
        <w:spacing w:after="160"/>
      </w:pPr>
    </w:p>
    <w:p>
      <w:pPr>
        <w:spacing w:after="120"/>
      </w:pPr>
      <w:r>
        <w:t xml:space="preserve">El presupuesto queda en el mismo orden que el de v7.7-b, 23,87 h, pese a cuadruplicar el horizonte, porque la eliminación del brazo de control compensa la extensión temporal. La familia encuentro_violento del OOD lejano concentró el 84,8 % del tiempo en v7.7-b y volverá a hacerlo, de modo que la reanudación por checkpoints no es una comodidad sino la condición que hace ejecutable la etapa. Divisible en tres o cuatro sesiones; cada par (brazo, H) es reanudable de forma independiente.</w:t>
      </w:r>
    </w:p>
    <w:p>
      <w:pPr>
        <w:spacing w:after="120"/>
      </w:pPr>
      <w:r>
        <w:rPr>
          <w:b/>
          <w:bCs/>
        </w:rPr>
        <w:t xml:space="preserve">Riesgo de costo declarado. </w:t>
      </w:r>
      <w:r>
        <w:t xml:space="preserve">La linealidad del costo con el horizonte es una hipótesis razonable pero no verificada: en sistemas caóticos, los pasos adaptativos del integrador pueden encarecerse en regímenes tardíos. Si el par (principal, H = 2) excediera en más de un cincuenta por ciento su estimación, corresponde recalcular el presupuesto de H = 4 antes de lanzarlo, y esa recalculación no constituye enmienda del prerregistro.</w:t>
      </w:r>
    </w:p>
    <w:p>
      <w:pPr>
        <w:pStyle w:val="Heading1"/>
        <w:spacing w:after="140" w:before="280"/>
      </w:pPr>
      <w:r>
        <w:t xml:space="preserve">7. Entregables y estado</w:t>
      </w:r>
    </w:p>
    <w:p>
      <w:pPr>
        <w:pStyle w:val="ListParagraph"/>
        <w:numPr>
          <w:ilvl w:val="0"/>
          <w:numId w:val="1"/>
        </w:numPr>
        <w:spacing w:after="120"/>
      </w:pPr>
      <w:r>
        <w:t xml:space="preserve">Dos partial_c_h{H}.pkl verificados, con bloque de procedencia, y el consolidado de la etapa con veredicto mecánico de escenario.</w:t>
      </w:r>
    </w:p>
    <w:p>
      <w:pPr>
        <w:pStyle w:val="ListParagraph"/>
        <w:numPr>
          <w:ilvl w:val="0"/>
          <w:numId w:val="1"/>
        </w:numPr>
        <w:spacing w:after="120"/>
      </w:pPr>
      <w:r>
        <w:t xml:space="preserve">Series por snapshot de varianza explicada, τ / radio, τ absoluto y d_eff, para los dos H y los tres subconjuntos, con el contraste explícito contra la predicción prerregistrada de la § 3.6.</w:t>
      </w:r>
    </w:p>
    <w:p>
      <w:pPr>
        <w:pStyle w:val="ListParagraph"/>
        <w:numPr>
          <w:ilvl w:val="0"/>
          <w:numId w:val="1"/>
        </w:numPr>
        <w:spacing w:after="120"/>
      </w:pPr>
      <w:r>
        <w:t xml:space="preserve">Informe de resultados de v7.7-c y acta de cierre, con el paquete anclado por SHA-256 conforme a la convención del programa.</w:t>
      </w:r>
    </w:p>
    <w:p>
      <w:pPr>
        <w:pStyle w:val="ListParagraph"/>
        <w:numPr>
          <w:ilvl w:val="0"/>
          <w:numId w:val="1"/>
        </w:numPr>
        <w:spacing w:after="120"/>
      </w:pPr>
      <w:r>
        <w:t xml:space="preserve">Anexo de tiempos por configuración, en el mismo formato de las etapas anteriores.</w:t>
      </w:r>
    </w:p>
    <w:p>
      <w:pPr>
        <w:spacing w:after="160"/>
      </w:pPr>
    </w:p>
    <w:p>
      <w:pPr>
        <w:pStyle w:val="Heading1"/>
        <w:spacing w:after="140" w:before="280"/>
      </w:pPr>
      <w:r>
        <w:t xml:space="preserve">8. Registro de enmiendas</w:t>
      </w:r>
    </w:p>
    <w:p>
      <w:pPr>
        <w:spacing w:after="120"/>
      </w:pPr>
      <w:r>
        <w:rPr>
          <w:b/>
          <w:bCs/>
        </w:rPr>
        <w:t xml:space="preserve">Primera ronda de auditoría — tres correcciones, todas adoptadas. </w:t>
      </w:r>
      <w:r>
        <w:t xml:space="preserve">(i) C12.a era circular: se formulaba sobre la varianza explicada por las componentes que el método elige para alcanzar 0,95, magnitud que por construcción nunca puede caer por debajo de ese valor. Se reformula sobre una base fija de dos componentes, con el umbral heredado del método congelado, y se verifica sobre datos existentes que el criterio puede fallar. (ii) G14 se enunciaba para cada brazo, pero en v7.7-b el control no se corrió con M = 40 y por tanto no existe referencia contra la cual verificar su regresión; la puerta queda acotada al brazo principal. (iii) El brazo de control se elimina de la etapa, con la fundamentación completa en la § 2.3 y el límite de atribución que eso impone registrado para el informe.</w:t>
      </w:r>
    </w:p>
    <w:p>
      <w:pPr>
        <w:spacing w:after="120"/>
      </w:pPr>
      <w:r>
        <w:rPr>
          <w:b/>
          <w:bCs/>
        </w:rPr>
        <w:t xml:space="preserve">Decisión adicional del redactor, no señalada por la auditoría. </w:t>
      </w:r>
      <w:r>
        <w:t xml:space="preserve">C12.b pasa de vinculante a instrumental. Su único umbral natural queda fuera del rango explorado por más de cien snapshots, y mantenerlo como vinculante habría producido un criterio decorativo del mismo tipo que el programa viene corrigiendo desde v7.7-b.</w:t>
      </w:r>
    </w:p>
    <w:p>
      <w:pPr>
        <w:spacing w:after="120"/>
      </w:pPr>
      <w:r>
        <w:rPr>
          <w:b/>
          <w:bCs/>
        </w:rPr>
        <w:t xml:space="preserve">Segunda ronda de auditoría — una corrección de alcance, adoptada. </w:t>
      </w:r>
      <w:r>
        <w:t xml:space="preserve">El fundamento de C12.a en la § 3.2 afirmaba que perder la representabilidad en pocas componentes hace que el análisis de componentes y el score kNN dejen de ser el lenguaje correcto del sistema. La afirmación excede lo que el método permite sostener, porque el módulo no está atado a dos componentes y puede operar con más. La redacción se sustituye por la frontera de compresibilidad bidimensional, que es lo que el criterio efectivamente mide. La corrección no es cosmética: determina si cruzar C12.a se lee como invalidez del instrumento o como acotación de su régimen más informativo, y esa lectura la hereda el informe de resultados.</w:t>
      </w:r>
    </w:p>
    <w:p>
      <w:pPr>
        <w:spacing w:after="120"/>
      </w:pPr>
      <w:r>
        <w:rPr>
          <w:b/>
          <w:bCs/>
        </w:rPr>
        <w:t xml:space="preserve">Fallo del segundo auditor sobre D1–D5. </w:t>
      </w:r>
      <w:r>
        <w:t xml:space="preserve">Las cinco decisiones quedan aprobadas: el barrido de H con espaciado constante, el criterio estructural primario con la precisión de alcance incorporada, el reparto entre criterios vinculantes e instrumentales, la eliminación del brazo de control con su límite de atribución declarado, y los tres escenarios con su regla de consecuencia. El fallo del responsable del programa queda pendiente.</w:t>
      </w:r>
    </w:p>
    <w:p>
      <w:pPr>
        <w:spacing w:after="120"/>
      </w:pPr>
      <w:r>
        <w:rPr>
          <w:b/>
          <w:bCs/>
        </w:rPr>
        <w:t xml:space="preserve">Tercera ronda — tres adiciones del redactor, no señaladas por la auditoría. </w:t>
      </w:r>
      <w:r>
        <w:t xml:space="preserve">(i) Se declara el papel real de H = 2 en la § 2.2. Con espaciado constante sus veinte snapshots están contenidos en los cuarenta de H = 4, de modo que presentarlo como un segundo nivel de la variable era inexacto; es un punto de control intermedio y se conserva por las dos funciones que sí cumple. (ii) Esa redundancia se convierte en la puerta G17, que exige que H = 2 y los veinte primeros snapshots de H = 4 coincidan a 1e-12. No cuesta cómputo y somete la independencia de camino del integrador a una prueba sobre un tramo el doble de largo que el de G14; si el paso adaptativo dependiera del intervalo total, toda comparación entre horizontes quedaría sin base y la etapa debe poder detectarlo. (iii) Se registra en la § 3.6 la predicción prerregistrada de la etapa, con su condición de tasa constante declarada, siguiendo el precedente de la NT-01. No es vinculante y su valor reside en que puede fallar.</w:t>
      </w:r>
    </w:p>
    <w:p>
      <w:pPr>
        <w:spacing w:after="120"/>
      </w:pPr>
      <w:r>
        <w:rPr>
          <w:b/>
          <w:bCs/>
        </w:rPr>
        <w:t xml:space="preserve">Constancia sobre la revisión del Borrador 3. </w:t>
      </w:r>
      <w:r>
        <w:t xml:space="preserve">El segundo auditor emitió fallo favorable sobre el delta del Borrador 3 y sobre D1–D5, y observó que la línea de estado de esa versión quedaba desactualizada tras su propia revisión. La observación es correcta y queda resuelta en esta versión, que además incorpora las tres adiciones anteriores.</w:t>
      </w:r>
    </w:p>
    <w:p>
      <w:pPr>
        <w:spacing w:after="120"/>
      </w:pPr>
      <w:r>
        <w:rPr>
          <w:b/>
          <w:bCs/>
        </w:rPr>
        <w:t xml:space="preserve">Cuarta ronda de auditoría — una corrección adoptada y un ajuste de redacción. </w:t>
      </w:r>
      <w:r>
        <w:t xml:space="preserve">El segundo auditor advirtió que G17, tal como quedaba enunciada, podía abortar la etapa por un artefacto del integrador: el instante final de H = 2 es frontera de integración de ese brazo y punto intermedio de H = 4, y un paso adaptativo los trata distinto. La observación es correcta. No se adopta, en cambio, la regla propuesta de distinguir una diferencia numérica despreciable de una divergencia material, porque «despreciable» solo puede evaluarse mirando el resultado y sería el primer umbral del programa fijado después de correr. Se adopta en su lugar la misma protección con alcance estructural: la puerta cubre los snapshots 1 a 19 con exigencia íntegra y el snapshot 20 queda declarado fuera por ser frontera de integración. Se añade la constancia simétrica sobre G14. Se adopta además su ajuste de redacción sobre D1: H = 4 es la variable operativa y H = 2 el punto de control intermedio.</w:t>
      </w:r>
    </w:p>
    <w:p>
      <w:pPr>
        <w:spacing w:after="120"/>
      </w:pPr>
      <w:r>
        <w:t xml:space="preserve">Este documento queda en estado BORRADOR 5 y se propone como versión de congelamiento. El segundo auditor emitió fallo favorable sobre D1–D5 y sobre los deltas de los Borradores 3 y 4, este último con la condición que esta versión resuelve. Pendiente: el fallo del responsable del programa sobre D1–D5. El congelamiento formal con acta, y el anexo de artefactos de código con sus SHA-256, son las únicas autorizaciones de corrida.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MTPS-C v7.7-c — Borrador 5</dc:title>
  <dc:creator>Programa MTPS-C</dc:creator>
  <cp:lastModifiedBy>Un-named</cp:lastModifiedBy>
  <cp:revision>1</cp:revision>
  <dcterms:created xsi:type="dcterms:W3CDTF">2026-09-13T23:25:36.541Z</dcterms:created>
  <dcterms:modified xsi:type="dcterms:W3CDTF">2026-09-13T23:25:36.550Z</dcterms:modified>
</cp:coreProperties>
</file>

<file path=docProps/custom.xml><?xml version="1.0" encoding="utf-8"?>
<Properties xmlns="http://schemas.openxmlformats.org/officeDocument/2006/custom-properties" xmlns:vt="http://schemas.openxmlformats.org/officeDocument/2006/docPropsVTypes"/>
</file>