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44"/>
          <w:szCs w:val="44"/>
        </w:rPr>
        <w:t xml:space="preserve">INFORME DE EVALUACIÓN</w:t>
      </w:r>
    </w:p>
    <w:p>
      <w:pPr>
        <w:spacing w:after="300"/>
      </w:pPr>
      <w:r>
        <w:rPr>
          <w:b/>
          <w:bCs/>
          <w:color w:val="2E75B6"/>
          <w:sz w:val="32"/>
          <w:szCs w:val="32"/>
        </w:rPr>
        <w:t xml:space="preserve">Proyecto NLP — Clasificador de Sentimiento</w:t>
      </w:r>
    </w:p>
    <w:p>
      <w:pPr>
        <w:spacing w:after="160" w:line="300"/>
      </w:pPr>
      <w:r>
        <w:rPr>
          <w:i/>
          <w:iCs/>
          <w:color w:val="595959"/>
        </w:rPr>
        <w:t xml:space="preserve">Repositorio evaluado: github.com/joaquinrodriguezi/Proyecto_NLP</w:t>
      </w:r>
    </w:p>
    <w:p>
      <w:pPr>
        <w:spacing w:after="160" w:line="300"/>
      </w:pPr>
      <w:r>
        <w:rPr>
          <w:color w:val="595959"/>
        </w:rPr>
        <w:t xml:space="preserve">Autor del proyecto: Joaquín Rodríguez</w:t>
      </w:r>
    </w:p>
    <w:p>
      <w:pPr>
        <w:spacing w:after="160" w:line="300"/>
      </w:pPr>
      <w:r>
        <w:rPr>
          <w:color w:val="595959"/>
        </w:rPr>
        <w:t xml:space="preserve">Tipo de entrega: proyecto académico / portfolio de NLP</w:t>
      </w:r>
    </w:p>
    <w:p>
      <w:pPr>
        <w:pBdr>
          <w:bottom w:val="single" w:color="BFBFBF" w:sz="4" w:space="4"/>
        </w:pBdr>
        <w:spacing w:after="300"/>
      </w:pPr>
    </w:p>
    <w:p>
      <w:pPr>
        <w:spacing w:after="160" w:line="300"/>
      </w:pPr>
      <w:r>
        <w:t xml:space="preserve">Este informe evalúa si el proyecto cumple con los criterios definidos para la entrega: justificación y evidencia del dataset, EDA, preprocesamiento, representación numérica, modelado con Deep Learning, entrenamiento y presentación/interpretación de resultados. El análisis se basa en la revisión directa del código fuente (carpeta src/), los notebooks, y los artefactos generados en artifacts/ y data/, no solo en la descripción del README.</w:t>
      </w:r>
    </w:p>
    <w:p>
      <w:pPr>
        <w:pStyle w:val="Heading1"/>
        <w:spacing w:after="200" w:before="400"/>
      </w:pPr>
      <w:r>
        <w:t xml:space="preserve">1. Dataset</w:t>
      </w:r>
    </w:p>
    <w:p>
      <w:pPr>
        <w:pStyle w:val="Heading2"/>
        <w:spacing w:after="150" w:before="300"/>
      </w:pPr>
      <w:r>
        <w:t xml:space="preserve">1.1 Descripción y justificación de la elección</w:t>
      </w:r>
    </w:p>
    <w:p>
      <w:pPr>
        <w:spacing w:after="160" w:line="300"/>
      </w:pPr>
      <w:r>
        <w:t xml:space="preserve">El proyecto utiliza comentarios reales extraídos de un video de YouTube sobre el retiro del excampeón de UFC Jon Jones (archivo UFC_champion_Jon_Jones_retires_comments.csv). Se eligió este corpus por las siguientes razones:</w:t>
      </w:r>
    </w:p>
    <w:p>
      <w:pPr>
        <w:pStyle w:val="ListParagraph"/>
        <w:numPr>
          <w:ilvl w:val="0"/>
          <w:numId w:val="1"/>
        </w:numPr>
        <w:spacing w:after="100" w:line="300"/>
      </w:pPr>
      <w:r>
        <w:t xml:space="preserve">Lenguaje espontáneo y no curado: al ser comentarios reales de usuarios, el texto incluye jerga, sarcasmo, errores ortográficos y emojis, lo que representa un desafío más realista para un pipeline de NLP que un dataset ya limpio.</w:t>
      </w:r>
    </w:p>
    <w:p>
      <w:pPr>
        <w:pStyle w:val="ListParagraph"/>
        <w:numPr>
          <w:ilvl w:val="0"/>
          <w:numId w:val="1"/>
        </w:numPr>
        <w:spacing w:after="100" w:line="300"/>
      </w:pPr>
      <w:r>
        <w:t xml:space="preserve">Dominio acotado: al girar todos los comentarios en torno a un mismo evento (el retiro de un deportista), se reduce la variabilidad temática y el modelo puede enfocarse en la polaridad del lenguaje en lugar de en el tema.</w:t>
      </w:r>
    </w:p>
    <w:p>
      <w:pPr>
        <w:pStyle w:val="ListParagraph"/>
        <w:numPr>
          <w:ilvl w:val="0"/>
          <w:numId w:val="1"/>
        </w:numPr>
        <w:spacing w:after="100" w:line="300"/>
      </w:pPr>
      <w:r>
        <w:t xml:space="preserve">Volumen suficiente para muestrear con libertad: el corpus completo tiene 231.051 filas, lo que permite construir una submuestra amplia y reproducible sin agotar el corpus.</w:t>
      </w:r>
    </w:p>
    <w:p>
      <w:pPr>
        <w:pStyle w:val="ListParagraph"/>
        <w:numPr>
          <w:ilvl w:val="0"/>
          <w:numId w:val="1"/>
        </w:numPr>
        <w:spacing w:after="100" w:line="300"/>
      </w:pPr>
      <w:r>
        <w:t xml:space="preserve">Datos públicos y sin información sensible: son comentarios abiertos de YouTube, por lo que no presentan restricciones de privacidad para uso académico.</w:t>
      </w:r>
    </w:p>
    <w:p>
      <w:pPr>
        <w:pStyle w:val="Heading2"/>
        <w:spacing w:after="150" w:before="300"/>
      </w:pPr>
      <w:r>
        <w:t xml:space="preserve">1.2 Evidencia del volumen de datos</w:t>
      </w:r>
    </w:p>
    <w:p>
      <w:pPr>
        <w:spacing w:after="160" w:line="300"/>
      </w:pPr>
      <w:r>
        <w:t xml:space="preserve">El archivo de inspección inicial (data/raw/inspection_report.txt, generado por src/load_and_inspect.py) confirma:</w:t>
      </w:r>
    </w:p>
    <w:p>
      <w:pPr>
        <w:pStyle w:val="ListParagraph"/>
        <w:numPr>
          <w:ilvl w:val="0"/>
          <w:numId w:val="1"/>
        </w:numPr>
        <w:spacing w:after="100" w:line="300"/>
      </w:pPr>
      <w:r>
        <w:t xml:space="preserve">Shape del dataset crudo: (231.051 filas, 10 columnas).</w:t>
      </w:r>
    </w:p>
    <w:p>
      <w:pPr>
        <w:pStyle w:val="ListParagraph"/>
        <w:numPr>
          <w:ilvl w:val="0"/>
          <w:numId w:val="1"/>
        </w:numPr>
        <w:spacing w:after="100" w:line="300"/>
      </w:pPr>
      <w:r>
        <w:t xml:space="preserve">Columnas: commentId, content, publishedTime, replyLevel, authorButtonA11y, imageAttachmentMaxHeight, video_id, likeCountLiked, likeCountDisliked, replyCount.</w:t>
      </w:r>
    </w:p>
    <w:p>
      <w:pPr>
        <w:pStyle w:val="ListParagraph"/>
        <w:numPr>
          <w:ilvl w:val="0"/>
          <w:numId w:val="1"/>
        </w:numPr>
        <w:spacing w:after="100" w:line="300"/>
      </w:pPr>
      <w:r>
        <w:t xml:space="preserve">A partir de ese corpus se construye una submuestra reproducible de 5.000 registros (random_state = 42, script src/eda.py), muy por encima del mínimo de 2.000 registros exigido.</w:t>
      </w:r>
    </w:p>
    <w:p>
      <w:pPr>
        <w:spacing w:after="160" w:line="300"/>
      </w:pPr>
      <w:r>
        <w:rPr>
          <w:i/>
          <w:iCs/>
          <w:color w:val="808080"/>
          <w:sz w:val="20"/>
          <w:szCs w:val="20"/>
        </w:rPr>
        <w:t xml:space="preserve">Nota técnica: el script de inspección inicial (load_and_inspect.py) tiene un pequeño defecto de detección de columna de texto (selecciona commentId en vez de content por coincidencia parcial de nombre), visible en inspection_report.txt. No afecta al resto del pipeline porque los scripts posteriores (eda.py y siguientes) sí priorizan correctamente la columna content.</w:t>
      </w:r>
    </w:p>
    <w:p>
      <w:pPr>
        <w:pStyle w:val="Heading1"/>
        <w:spacing w:after="200" w:before="400"/>
      </w:pPr>
      <w:r>
        <w:t xml:space="preserve">2. Análisis Exploratorio de Datos (EDA)</w:t>
      </w:r>
    </w:p>
    <w:p>
      <w:pPr>
        <w:spacing w:after="160" w:line="300"/>
      </w:pPr>
      <w:r>
        <w:t xml:space="preserve">El corpus original no trae una etiqueta de sentimiento asociada; por eso el EDA (src/eda.py) se concentra primero en las propiedades textuales del corpus, y la distribución de clases de sentimiento se retoma en la sección 4, una vez generadas las etiquetas.</w:t>
      </w:r>
    </w:p>
    <w:p>
      <w:pPr>
        <w:pStyle w:val="Heading2"/>
        <w:spacing w:after="150" w:before="300"/>
      </w:pPr>
      <w:r>
        <w:t xml:space="preserve">2.1 Distribución de longitud y ruido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100"/>
        <w:gridCol w:w="1300"/>
        <w:gridCol w:w="1300"/>
      </w:tblGrid>
      <w:tr>
        <w:trPr>
          <w:tblHeader/>
        </w:trPr>
        <w:tc>
          <w:tcPr>
            <w:tcW w:type="dxa" w:w="3400"/>
            <w:shd w:fill="1F4E78" w:val="clear"/>
            <w:tcMar>
              <w:top w:type="dxa" w:w="80"/>
              <w:left w:type="dxa" w:w="120"/>
              <w:bottom w:type="dxa" w:w="80"/>
              <w:right w:type="dxa" w:w="120"/>
            </w:tcMar>
            <w:vAlign w:val="center"/>
          </w:tcPr>
          <w:p>
            <w:pPr>
              <w:jc w:val="left"/>
            </w:pPr>
            <w:r>
              <w:rPr>
                <w:b/>
                <w:bCs/>
                <w:color w:val="FFFFFF"/>
                <w:sz w:val="20"/>
                <w:szCs w:val="20"/>
              </w:rPr>
              <w:t xml:space="preserve">Métrica</w:t>
            </w:r>
          </w:p>
        </w:tc>
        <w:tc>
          <w:tcPr>
            <w:tcW w:type="dxa" w:w="1900"/>
            <w:shd w:fill="1F4E78" w:val="clear"/>
            <w:tcMar>
              <w:top w:type="dxa" w:w="80"/>
              <w:left w:type="dxa" w:w="120"/>
              <w:bottom w:type="dxa" w:w="80"/>
              <w:right w:type="dxa" w:w="120"/>
            </w:tcMar>
            <w:vAlign w:val="center"/>
          </w:tcPr>
          <w:p>
            <w:pPr>
              <w:jc w:val="left"/>
            </w:pPr>
            <w:r>
              <w:rPr>
                <w:b/>
                <w:bCs/>
                <w:color w:val="FFFFFF"/>
                <w:sz w:val="20"/>
                <w:szCs w:val="20"/>
              </w:rPr>
              <w:t xml:space="preserve">Media</w:t>
            </w:r>
          </w:p>
        </w:tc>
        <w:tc>
          <w:tcPr>
            <w:tcW w:type="dxa" w:w="2100"/>
            <w:shd w:fill="1F4E78" w:val="clear"/>
            <w:tcMar>
              <w:top w:type="dxa" w:w="80"/>
              <w:left w:type="dxa" w:w="120"/>
              <w:bottom w:type="dxa" w:w="80"/>
              <w:right w:type="dxa" w:w="120"/>
            </w:tcMar>
            <w:vAlign w:val="center"/>
          </w:tcPr>
          <w:p>
            <w:pPr>
              <w:jc w:val="left"/>
            </w:pPr>
            <w:r>
              <w:rPr>
                <w:b/>
                <w:bCs/>
                <w:color w:val="FFFFFF"/>
                <w:sz w:val="20"/>
                <w:szCs w:val="20"/>
              </w:rPr>
              <w:t xml:space="preserve">Desv. estándar</w:t>
            </w:r>
          </w:p>
        </w:tc>
        <w:tc>
          <w:tcPr>
            <w:tcW w:type="dxa" w:w="1300"/>
            <w:shd w:fill="1F4E78" w:val="clear"/>
            <w:tcMar>
              <w:top w:type="dxa" w:w="80"/>
              <w:left w:type="dxa" w:w="120"/>
              <w:bottom w:type="dxa" w:w="80"/>
              <w:right w:type="dxa" w:w="120"/>
            </w:tcMar>
            <w:vAlign w:val="center"/>
          </w:tcPr>
          <w:p>
            <w:pPr>
              <w:jc w:val="left"/>
            </w:pPr>
            <w:r>
              <w:rPr>
                <w:b/>
                <w:bCs/>
                <w:color w:val="FFFFFF"/>
                <w:sz w:val="20"/>
                <w:szCs w:val="20"/>
              </w:rPr>
              <w:t xml:space="preserve">Mín</w:t>
            </w:r>
          </w:p>
        </w:tc>
        <w:tc>
          <w:tcPr>
            <w:tcW w:type="dxa" w:w="1300"/>
            <w:shd w:fill="1F4E78" w:val="clear"/>
            <w:tcMar>
              <w:top w:type="dxa" w:w="80"/>
              <w:left w:type="dxa" w:w="120"/>
              <w:bottom w:type="dxa" w:w="80"/>
              <w:right w:type="dxa" w:w="120"/>
            </w:tcMar>
            <w:vAlign w:val="center"/>
          </w:tcPr>
          <w:p>
            <w:pPr>
              <w:jc w:val="left"/>
            </w:pPr>
            <w:r>
              <w:rPr>
                <w:b/>
                <w:bCs/>
                <w:color w:val="FFFFFF"/>
                <w:sz w:val="20"/>
                <w:szCs w:val="20"/>
              </w:rPr>
              <w:t xml:space="preserve">Máx</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Longitud en caracteres</w:t>
            </w:r>
          </w:p>
        </w:tc>
        <w:tc>
          <w:tcPr>
            <w:tcW w:type="dxa" w:w="1900"/>
            <w:tcMar>
              <w:top w:type="dxa" w:w="80"/>
              <w:left w:type="dxa" w:w="120"/>
              <w:bottom w:type="dxa" w:w="80"/>
              <w:right w:type="dxa" w:w="120"/>
            </w:tcMar>
            <w:vAlign w:val="center"/>
          </w:tcPr>
          <w:p>
            <w:pPr>
              <w:jc w:val="center"/>
            </w:pPr>
            <w:r>
              <w:rPr>
                <w:b w:val="false"/>
                <w:bCs w:val="false"/>
                <w:sz w:val="20"/>
                <w:szCs w:val="20"/>
              </w:rPr>
              <w:t xml:space="preserve">91.8</w:t>
            </w:r>
          </w:p>
        </w:tc>
        <w:tc>
          <w:tcPr>
            <w:tcW w:type="dxa" w:w="2100"/>
            <w:tcMar>
              <w:top w:type="dxa" w:w="80"/>
              <w:left w:type="dxa" w:w="120"/>
              <w:bottom w:type="dxa" w:w="80"/>
              <w:right w:type="dxa" w:w="120"/>
            </w:tcMar>
            <w:vAlign w:val="center"/>
          </w:tcPr>
          <w:p>
            <w:pPr>
              <w:jc w:val="center"/>
            </w:pPr>
            <w:r>
              <w:rPr>
                <w:b w:val="false"/>
                <w:bCs w:val="false"/>
                <w:sz w:val="20"/>
                <w:szCs w:val="20"/>
              </w:rPr>
              <w:t xml:space="preserve">138.5</w:t>
            </w:r>
          </w:p>
        </w:tc>
        <w:tc>
          <w:tcPr>
            <w:tcW w:type="dxa" w:w="1300"/>
            <w:tcMar>
              <w:top w:type="dxa" w:w="80"/>
              <w:left w:type="dxa" w:w="120"/>
              <w:bottom w:type="dxa" w:w="80"/>
              <w:right w:type="dxa" w:w="120"/>
            </w:tcMar>
            <w:vAlign w:val="center"/>
          </w:tcPr>
          <w:p>
            <w:pPr>
              <w:jc w:val="center"/>
            </w:pPr>
            <w:r>
              <w:rPr>
                <w:b w:val="false"/>
                <w:bCs w:val="false"/>
                <w:sz w:val="20"/>
                <w:szCs w:val="20"/>
              </w:rPr>
              <w:t xml:space="preserve">1</w:t>
            </w:r>
          </w:p>
        </w:tc>
        <w:tc>
          <w:tcPr>
            <w:tcW w:type="dxa" w:w="1300"/>
            <w:tcMar>
              <w:top w:type="dxa" w:w="80"/>
              <w:left w:type="dxa" w:w="120"/>
              <w:bottom w:type="dxa" w:w="80"/>
              <w:right w:type="dxa" w:w="120"/>
            </w:tcMar>
            <w:vAlign w:val="center"/>
          </w:tcPr>
          <w:p>
            <w:pPr>
              <w:jc w:val="center"/>
            </w:pPr>
            <w:r>
              <w:rPr>
                <w:b w:val="false"/>
                <w:bCs w:val="false"/>
                <w:sz w:val="20"/>
                <w:szCs w:val="20"/>
              </w:rPr>
              <w:t xml:space="preserve">3213</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Longitud en palabras</w:t>
            </w:r>
          </w:p>
        </w:tc>
        <w:tc>
          <w:tcPr>
            <w:tcW w:type="dxa" w:w="1900"/>
            <w:tcMar>
              <w:top w:type="dxa" w:w="80"/>
              <w:left w:type="dxa" w:w="120"/>
              <w:bottom w:type="dxa" w:w="80"/>
              <w:right w:type="dxa" w:w="120"/>
            </w:tcMar>
            <w:vAlign w:val="center"/>
          </w:tcPr>
          <w:p>
            <w:pPr>
              <w:jc w:val="center"/>
            </w:pPr>
            <w:r>
              <w:rPr>
                <w:b w:val="false"/>
                <w:bCs w:val="false"/>
                <w:sz w:val="20"/>
                <w:szCs w:val="20"/>
              </w:rPr>
              <w:t xml:space="preserve">17.5</w:t>
            </w:r>
          </w:p>
        </w:tc>
        <w:tc>
          <w:tcPr>
            <w:tcW w:type="dxa" w:w="2100"/>
            <w:tcMar>
              <w:top w:type="dxa" w:w="80"/>
              <w:left w:type="dxa" w:w="120"/>
              <w:bottom w:type="dxa" w:w="80"/>
              <w:right w:type="dxa" w:w="120"/>
            </w:tcMar>
            <w:vAlign w:val="center"/>
          </w:tcPr>
          <w:p>
            <w:pPr>
              <w:jc w:val="center"/>
            </w:pPr>
            <w:r>
              <w:rPr>
                <w:b w:val="false"/>
                <w:bCs w:val="false"/>
                <w:sz w:val="20"/>
                <w:szCs w:val="20"/>
              </w:rPr>
              <w:t xml:space="preserve">25.7</w:t>
            </w:r>
          </w:p>
        </w:tc>
        <w:tc>
          <w:tcPr>
            <w:tcW w:type="dxa" w:w="1300"/>
            <w:tcMar>
              <w:top w:type="dxa" w:w="80"/>
              <w:left w:type="dxa" w:w="120"/>
              <w:bottom w:type="dxa" w:w="80"/>
              <w:right w:type="dxa" w:w="120"/>
            </w:tcMar>
            <w:vAlign w:val="center"/>
          </w:tcPr>
          <w:p>
            <w:pPr>
              <w:jc w:val="center"/>
            </w:pPr>
            <w:r>
              <w:rPr>
                <w:b w:val="false"/>
                <w:bCs w:val="false"/>
                <w:sz w:val="20"/>
                <w:szCs w:val="20"/>
              </w:rPr>
              <w:t xml:space="preserve">1</w:t>
            </w:r>
          </w:p>
        </w:tc>
        <w:tc>
          <w:tcPr>
            <w:tcW w:type="dxa" w:w="1300"/>
            <w:tcMar>
              <w:top w:type="dxa" w:w="80"/>
              <w:left w:type="dxa" w:w="120"/>
              <w:bottom w:type="dxa" w:w="80"/>
              <w:right w:type="dxa" w:w="120"/>
            </w:tcMar>
            <w:vAlign w:val="center"/>
          </w:tcPr>
          <w:p>
            <w:pPr>
              <w:jc w:val="center"/>
            </w:pPr>
            <w:r>
              <w:rPr>
                <w:b w:val="false"/>
                <w:bCs w:val="false"/>
                <w:sz w:val="20"/>
                <w:szCs w:val="20"/>
              </w:rPr>
              <w:t xml:space="preserve">549</w:t>
            </w:r>
          </w:p>
        </w:tc>
      </w:tr>
    </w:tbl>
    <w:p>
      <w:pPr>
        <w:spacing w:after="100" w:before="2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400"/>
      </w:tblGrid>
      <w:tr>
        <w:trPr>
          <w:tblHeader/>
        </w:trPr>
        <w:tc>
          <w:tcPr>
            <w:tcW w:type="dxa" w:w="3800"/>
            <w:shd w:fill="1F4E78" w:val="clear"/>
            <w:tcMar>
              <w:top w:type="dxa" w:w="80"/>
              <w:left w:type="dxa" w:w="120"/>
              <w:bottom w:type="dxa" w:w="80"/>
              <w:right w:type="dxa" w:w="120"/>
            </w:tcMar>
            <w:vAlign w:val="center"/>
          </w:tcPr>
          <w:p>
            <w:pPr>
              <w:jc w:val="left"/>
            </w:pPr>
            <w:r>
              <w:rPr>
                <w:b/>
                <w:bCs/>
                <w:color w:val="FFFFFF"/>
                <w:sz w:val="20"/>
                <w:szCs w:val="20"/>
              </w:rPr>
              <w:t xml:space="preserve">Elemento</w:t>
            </w:r>
          </w:p>
        </w:tc>
        <w:tc>
          <w:tcPr>
            <w:tcW w:type="dxa" w:w="2400"/>
            <w:shd w:fill="1F4E78" w:val="clear"/>
            <w:tcMar>
              <w:top w:type="dxa" w:w="80"/>
              <w:left w:type="dxa" w:w="120"/>
              <w:bottom w:type="dxa" w:w="80"/>
              <w:right w:type="dxa" w:w="120"/>
            </w:tcMar>
            <w:vAlign w:val="center"/>
          </w:tcPr>
          <w:p>
            <w:pPr>
              <w:jc w:val="left"/>
            </w:pPr>
            <w:r>
              <w:rPr>
                <w:b/>
                <w:bCs/>
                <w:color w:val="FFFFFF"/>
                <w:sz w:val="20"/>
                <w:szCs w:val="20"/>
              </w:rPr>
              <w:t xml:space="preserve">Ocurrencias</w:t>
            </w:r>
          </w:p>
        </w:tc>
        <w:tc>
          <w:tcPr>
            <w:tcW w:type="dxa" w:w="2400"/>
            <w:shd w:fill="1F4E78" w:val="clear"/>
            <w:tcMar>
              <w:top w:type="dxa" w:w="80"/>
              <w:left w:type="dxa" w:w="120"/>
              <w:bottom w:type="dxa" w:w="80"/>
              <w:right w:type="dxa" w:w="120"/>
            </w:tcMar>
            <w:vAlign w:val="center"/>
          </w:tcPr>
          <w:p>
            <w:pPr>
              <w:jc w:val="left"/>
            </w:pPr>
            <w:r>
              <w:rPr>
                <w:b/>
                <w:bCs/>
                <w:color w:val="FFFFFF"/>
                <w:sz w:val="20"/>
                <w:szCs w:val="20"/>
              </w:rPr>
              <w:t xml:space="preserve">% del corpus</w:t>
            </w:r>
          </w:p>
        </w:tc>
      </w:tr>
      <w:tr>
        <w:tc>
          <w:tcPr>
            <w:tcW w:type="dxa" w:w="3800"/>
            <w:tcMar>
              <w:top w:type="dxa" w:w="80"/>
              <w:left w:type="dxa" w:w="120"/>
              <w:bottom w:type="dxa" w:w="80"/>
              <w:right w:type="dxa" w:w="120"/>
            </w:tcMar>
            <w:vAlign w:val="center"/>
          </w:tcPr>
          <w:p>
            <w:pPr>
              <w:jc w:val="left"/>
            </w:pPr>
            <w:r>
              <w:rPr>
                <w:b w:val="false"/>
                <w:bCs w:val="false"/>
                <w:sz w:val="20"/>
                <w:szCs w:val="20"/>
              </w:rPr>
              <w:t xml:space="preserve">URLs</w:t>
            </w:r>
          </w:p>
        </w:tc>
        <w:tc>
          <w:tcPr>
            <w:tcW w:type="dxa" w:w="2400"/>
            <w:tcMar>
              <w:top w:type="dxa" w:w="80"/>
              <w:left w:type="dxa" w:w="120"/>
              <w:bottom w:type="dxa" w:w="80"/>
              <w:right w:type="dxa" w:w="120"/>
            </w:tcMar>
            <w:vAlign w:val="center"/>
          </w:tcPr>
          <w:p>
            <w:pPr>
              <w:jc w:val="center"/>
            </w:pPr>
            <w:r>
              <w:rPr>
                <w:b w:val="false"/>
                <w:bCs w:val="false"/>
                <w:sz w:val="20"/>
                <w:szCs w:val="20"/>
              </w:rPr>
              <w:t xml:space="preserve">5</w:t>
            </w:r>
          </w:p>
        </w:tc>
        <w:tc>
          <w:tcPr>
            <w:tcW w:type="dxa" w:w="2400"/>
            <w:tcMar>
              <w:top w:type="dxa" w:w="80"/>
              <w:left w:type="dxa" w:w="120"/>
              <w:bottom w:type="dxa" w:w="80"/>
              <w:right w:type="dxa" w:w="120"/>
            </w:tcMar>
            <w:vAlign w:val="center"/>
          </w:tcPr>
          <w:p>
            <w:pPr>
              <w:jc w:val="center"/>
            </w:pPr>
            <w:r>
              <w:rPr>
                <w:b w:val="false"/>
                <w:bCs w:val="false"/>
                <w:sz w:val="20"/>
                <w:szCs w:val="20"/>
              </w:rPr>
              <w:t xml:space="preserve">0.10%</w:t>
            </w:r>
          </w:p>
        </w:tc>
      </w:tr>
      <w:tr>
        <w:tc>
          <w:tcPr>
            <w:tcW w:type="dxa" w:w="3800"/>
            <w:tcMar>
              <w:top w:type="dxa" w:w="80"/>
              <w:left w:type="dxa" w:w="120"/>
              <w:bottom w:type="dxa" w:w="80"/>
              <w:right w:type="dxa" w:w="120"/>
            </w:tcMar>
            <w:vAlign w:val="center"/>
          </w:tcPr>
          <w:p>
            <w:pPr>
              <w:jc w:val="left"/>
            </w:pPr>
            <w:r>
              <w:rPr>
                <w:b w:val="false"/>
                <w:bCs w:val="false"/>
                <w:sz w:val="20"/>
                <w:szCs w:val="20"/>
              </w:rPr>
              <w:t xml:space="preserve">Menciones (@)</w:t>
            </w:r>
          </w:p>
        </w:tc>
        <w:tc>
          <w:tcPr>
            <w:tcW w:type="dxa" w:w="2400"/>
            <w:tcMar>
              <w:top w:type="dxa" w:w="80"/>
              <w:left w:type="dxa" w:w="120"/>
              <w:bottom w:type="dxa" w:w="80"/>
              <w:right w:type="dxa" w:w="120"/>
            </w:tcMar>
            <w:vAlign w:val="center"/>
          </w:tcPr>
          <w:p>
            <w:pPr>
              <w:jc w:val="center"/>
            </w:pPr>
            <w:r>
              <w:rPr>
                <w:b w:val="false"/>
                <w:bCs w:val="false"/>
                <w:sz w:val="20"/>
                <w:szCs w:val="20"/>
              </w:rPr>
              <w:t xml:space="preserve">7</w:t>
            </w:r>
          </w:p>
        </w:tc>
        <w:tc>
          <w:tcPr>
            <w:tcW w:type="dxa" w:w="2400"/>
            <w:tcMar>
              <w:top w:type="dxa" w:w="80"/>
              <w:left w:type="dxa" w:w="120"/>
              <w:bottom w:type="dxa" w:w="80"/>
              <w:right w:type="dxa" w:w="120"/>
            </w:tcMar>
            <w:vAlign w:val="center"/>
          </w:tcPr>
          <w:p>
            <w:pPr>
              <w:jc w:val="center"/>
            </w:pPr>
            <w:r>
              <w:rPr>
                <w:b w:val="false"/>
                <w:bCs w:val="false"/>
                <w:sz w:val="20"/>
                <w:szCs w:val="20"/>
              </w:rPr>
              <w:t xml:space="preserve">0.14%</w:t>
            </w:r>
          </w:p>
        </w:tc>
      </w:tr>
      <w:tr>
        <w:tc>
          <w:tcPr>
            <w:tcW w:type="dxa" w:w="3800"/>
            <w:tcMar>
              <w:top w:type="dxa" w:w="80"/>
              <w:left w:type="dxa" w:w="120"/>
              <w:bottom w:type="dxa" w:w="80"/>
              <w:right w:type="dxa" w:w="120"/>
            </w:tcMar>
            <w:vAlign w:val="center"/>
          </w:tcPr>
          <w:p>
            <w:pPr>
              <w:jc w:val="left"/>
            </w:pPr>
            <w:r>
              <w:rPr>
                <w:b w:val="false"/>
                <w:bCs w:val="false"/>
                <w:sz w:val="20"/>
                <w:szCs w:val="20"/>
              </w:rPr>
              <w:t xml:space="preserve">Hashtags (#)</w:t>
            </w:r>
          </w:p>
        </w:tc>
        <w:tc>
          <w:tcPr>
            <w:tcW w:type="dxa" w:w="2400"/>
            <w:tcMar>
              <w:top w:type="dxa" w:w="80"/>
              <w:left w:type="dxa" w:w="120"/>
              <w:bottom w:type="dxa" w:w="80"/>
              <w:right w:type="dxa" w:w="120"/>
            </w:tcMar>
            <w:vAlign w:val="center"/>
          </w:tcPr>
          <w:p>
            <w:pPr>
              <w:jc w:val="center"/>
            </w:pPr>
            <w:r>
              <w:rPr>
                <w:b w:val="false"/>
                <w:bCs w:val="false"/>
                <w:sz w:val="20"/>
                <w:szCs w:val="20"/>
              </w:rPr>
              <w:t xml:space="preserve">19</w:t>
            </w:r>
          </w:p>
        </w:tc>
        <w:tc>
          <w:tcPr>
            <w:tcW w:type="dxa" w:w="2400"/>
            <w:tcMar>
              <w:top w:type="dxa" w:w="80"/>
              <w:left w:type="dxa" w:w="120"/>
              <w:bottom w:type="dxa" w:w="80"/>
              <w:right w:type="dxa" w:w="120"/>
            </w:tcMar>
            <w:vAlign w:val="center"/>
          </w:tcPr>
          <w:p>
            <w:pPr>
              <w:jc w:val="center"/>
            </w:pPr>
            <w:r>
              <w:rPr>
                <w:b w:val="false"/>
                <w:bCs w:val="false"/>
                <w:sz w:val="20"/>
                <w:szCs w:val="20"/>
              </w:rPr>
              <w:t xml:space="preserve">0.38%</w:t>
            </w:r>
          </w:p>
        </w:tc>
      </w:tr>
      <w:tr>
        <w:tc>
          <w:tcPr>
            <w:tcW w:type="dxa" w:w="3800"/>
            <w:tcMar>
              <w:top w:type="dxa" w:w="80"/>
              <w:left w:type="dxa" w:w="120"/>
              <w:bottom w:type="dxa" w:w="80"/>
              <w:right w:type="dxa" w:w="120"/>
            </w:tcMar>
            <w:vAlign w:val="center"/>
          </w:tcPr>
          <w:p>
            <w:pPr>
              <w:jc w:val="left"/>
            </w:pPr>
            <w:r>
              <w:rPr>
                <w:b w:val="false"/>
                <w:bCs w:val="false"/>
                <w:sz w:val="20"/>
                <w:szCs w:val="20"/>
              </w:rPr>
              <w:t xml:space="preserve">Emojis</w:t>
            </w:r>
          </w:p>
        </w:tc>
        <w:tc>
          <w:tcPr>
            <w:tcW w:type="dxa" w:w="2400"/>
            <w:tcMar>
              <w:top w:type="dxa" w:w="80"/>
              <w:left w:type="dxa" w:w="120"/>
              <w:bottom w:type="dxa" w:w="80"/>
              <w:right w:type="dxa" w:w="120"/>
            </w:tcMar>
            <w:vAlign w:val="center"/>
          </w:tcPr>
          <w:p>
            <w:pPr>
              <w:jc w:val="center"/>
            </w:pPr>
            <w:r>
              <w:rPr>
                <w:b w:val="false"/>
                <w:bCs w:val="false"/>
                <w:sz w:val="20"/>
                <w:szCs w:val="20"/>
              </w:rPr>
              <w:t xml:space="preserve">959</w:t>
            </w:r>
          </w:p>
        </w:tc>
        <w:tc>
          <w:tcPr>
            <w:tcW w:type="dxa" w:w="2400"/>
            <w:tcMar>
              <w:top w:type="dxa" w:w="80"/>
              <w:left w:type="dxa" w:w="120"/>
              <w:bottom w:type="dxa" w:w="80"/>
              <w:right w:type="dxa" w:w="120"/>
            </w:tcMar>
            <w:vAlign w:val="center"/>
          </w:tcPr>
          <w:p>
            <w:pPr>
              <w:jc w:val="center"/>
            </w:pPr>
            <w:r>
              <w:rPr>
                <w:b w:val="false"/>
                <w:bCs w:val="false"/>
                <w:sz w:val="20"/>
                <w:szCs w:val="20"/>
              </w:rPr>
              <w:t xml:space="preserve">19.18%</w:t>
            </w:r>
          </w:p>
        </w:tc>
      </w:tr>
    </w:tbl>
    <w:p>
      <w:pPr>
        <w:spacing w:after="0" w:before="200"/>
      </w:pPr>
    </w:p>
    <w:p>
      <w:pPr>
        <w:spacing w:after="160" w:line="300"/>
      </w:pPr>
      <w:r>
        <w:t xml:space="preserve">La baja presencia de URLs/menciones/hashtags justifica eliminarlos sin pérdida de información relevante, mientras que el 19% de comentarios con emojis justifica preservarlos explícitamente durante la limpieza, ya que suelen aportar señal de polaridad.</w:t>
      </w:r>
    </w:p>
    <w:p>
      <w:pPr>
        <w:pStyle w:val="Heading2"/>
        <w:spacing w:after="150" w:before="300"/>
      </w:pPr>
      <w:r>
        <w:t xml:space="preserve">2.2 Palabras y n-gramas más frecuentes</w:t>
      </w:r>
    </w:p>
    <w:p>
      <w:pPr>
        <w:spacing w:after="160" w:line="300"/>
      </w:pPr>
      <w:r>
        <w:t xml:space="preserve">Top unigramas (sobre texto crudo, artifacts/top20_unigrams.csv): the, he, to, a, is, and, jones, s, jon, of, i, that, it, in, t, you, fight, this, his, for. Se observa que, antes de cualquier procesamiento, el vocabulario más frecuente está dominado por stopwords sin carga semántica de sentimiento — este hallazgo es el que luego motiva, en la sección 4, la elección de TF-IDF sobre un conteo simple.</w:t>
      </w:r>
    </w:p>
    <w:p>
      <w:pPr>
        <w:spacing w:after="160" w:line="300"/>
      </w:pPr>
      <w:r>
        <w:t xml:space="preserve">Top bigramas (artifacts/top20_bigrams.csv): "jon jones", "he s", "in the", "it s", "jones is", "don t", "of the", "is a", "is the", "he is", entre otros. Los bigramas más frecuentes reflejan mayormente el tema (Jon Jones, UFC) y estructuras gramaticales, no polaridad, lo cual es esperable antes de eliminar stopwords.</w:t>
      </w:r>
    </w:p>
    <w:p>
      <w:pPr>
        <w:spacing w:after="160" w:line="300"/>
      </w:pPr>
      <w:r>
        <w:t xml:space="preserve">Se generaron visualizaciones de apoyo en artifacts/: histograma de longitud en palabras (length_hist_words.png), boxplot de longitud en caracteres por clase (length_boxplot_chars_by_class.png), gráficos de barras de los 20 unigramas y bigramas más frecuentes (top20_unigrams.png, top20_bigrams.png) y una nube de palabras (wordcloud.png).</w:t>
      </w:r>
    </w:p>
    <w:p>
      <w:pPr>
        <w:pStyle w:val="Heading2"/>
        <w:spacing w:after="150" w:before="300"/>
      </w:pPr>
      <w:r>
        <w:t xml:space="preserve">2.3 Distribución de clases (una vez etiquetado el corpus)</w:t>
      </w:r>
    </w:p>
    <w:p>
      <w:pPr>
        <w:spacing w:after="160" w:line="300"/>
      </w:pPr>
      <w:r>
        <w:t xml:space="preserve">Como el dataset original no trae sentimiento, las etiquetas se generan en la etapa de vectorización (sección 4) usando NLTK VADER sobre 5.000 comentarios lematizados. La distribución de las 3 polaridades resultantes 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400"/>
      </w:tblGrid>
      <w:tr>
        <w:trPr>
          <w:tblHeader/>
        </w:trPr>
        <w:tc>
          <w:tcPr>
            <w:tcW w:type="dxa" w:w="3800"/>
            <w:shd w:fill="1F4E78" w:val="clear"/>
            <w:tcMar>
              <w:top w:type="dxa" w:w="80"/>
              <w:left w:type="dxa" w:w="120"/>
              <w:bottom w:type="dxa" w:w="80"/>
              <w:right w:type="dxa" w:w="120"/>
            </w:tcMar>
            <w:vAlign w:val="center"/>
          </w:tcPr>
          <w:p>
            <w:pPr>
              <w:jc w:val="left"/>
            </w:pPr>
            <w:r>
              <w:rPr>
                <w:b/>
                <w:bCs/>
                <w:color w:val="FFFFFF"/>
                <w:sz w:val="20"/>
                <w:szCs w:val="20"/>
              </w:rPr>
              <w:t xml:space="preserve">Clase (VADER)</w:t>
            </w:r>
          </w:p>
        </w:tc>
        <w:tc>
          <w:tcPr>
            <w:tcW w:type="dxa" w:w="2400"/>
            <w:shd w:fill="1F4E78" w:val="clear"/>
            <w:tcMar>
              <w:top w:type="dxa" w:w="80"/>
              <w:left w:type="dxa" w:w="120"/>
              <w:bottom w:type="dxa" w:w="80"/>
              <w:right w:type="dxa" w:w="120"/>
            </w:tcMar>
            <w:vAlign w:val="center"/>
          </w:tcPr>
          <w:p>
            <w:pPr>
              <w:jc w:val="left"/>
            </w:pPr>
            <w:r>
              <w:rPr>
                <w:b/>
                <w:bCs/>
                <w:color w:val="FFFFFF"/>
                <w:sz w:val="20"/>
                <w:szCs w:val="20"/>
              </w:rPr>
              <w:t xml:space="preserve">Cantidad</w:t>
            </w:r>
          </w:p>
        </w:tc>
        <w:tc>
          <w:tcPr>
            <w:tcW w:type="dxa" w:w="2400"/>
            <w:shd w:fill="1F4E78" w:val="clear"/>
            <w:tcMar>
              <w:top w:type="dxa" w:w="80"/>
              <w:left w:type="dxa" w:w="120"/>
              <w:bottom w:type="dxa" w:w="80"/>
              <w:right w:type="dxa" w:w="120"/>
            </w:tcMar>
            <w:vAlign w:val="center"/>
          </w:tcPr>
          <w:p>
            <w:pPr>
              <w:jc w:val="left"/>
            </w:pPr>
            <w:r>
              <w:rPr>
                <w:b/>
                <w:bCs/>
                <w:color w:val="FFFFFF"/>
                <w:sz w:val="20"/>
                <w:szCs w:val="20"/>
              </w:rPr>
              <w:t xml:space="preserve">% del total</w:t>
            </w:r>
          </w:p>
        </w:tc>
      </w:tr>
      <w:tr>
        <w:tc>
          <w:tcPr>
            <w:tcW w:type="dxa" w:w="3800"/>
            <w:tcMar>
              <w:top w:type="dxa" w:w="80"/>
              <w:left w:type="dxa" w:w="120"/>
              <w:bottom w:type="dxa" w:w="80"/>
              <w:right w:type="dxa" w:w="120"/>
            </w:tcMar>
            <w:vAlign w:val="center"/>
          </w:tcPr>
          <w:p>
            <w:pPr>
              <w:jc w:val="left"/>
            </w:pPr>
            <w:r>
              <w:rPr>
                <w:b w:val="false"/>
                <w:bCs w:val="false"/>
                <w:sz w:val="20"/>
                <w:szCs w:val="20"/>
              </w:rPr>
              <w:t xml:space="preserve">positive</w:t>
            </w:r>
          </w:p>
        </w:tc>
        <w:tc>
          <w:tcPr>
            <w:tcW w:type="dxa" w:w="2400"/>
            <w:tcMar>
              <w:top w:type="dxa" w:w="80"/>
              <w:left w:type="dxa" w:w="120"/>
              <w:bottom w:type="dxa" w:w="80"/>
              <w:right w:type="dxa" w:w="120"/>
            </w:tcMar>
            <w:vAlign w:val="center"/>
          </w:tcPr>
          <w:p>
            <w:pPr>
              <w:jc w:val="center"/>
            </w:pPr>
            <w:r>
              <w:rPr>
                <w:b w:val="false"/>
                <w:bCs w:val="false"/>
                <w:sz w:val="20"/>
                <w:szCs w:val="20"/>
              </w:rPr>
              <w:t xml:space="preserve">1.740</w:t>
            </w:r>
          </w:p>
        </w:tc>
        <w:tc>
          <w:tcPr>
            <w:tcW w:type="dxa" w:w="2400"/>
            <w:tcMar>
              <w:top w:type="dxa" w:w="80"/>
              <w:left w:type="dxa" w:w="120"/>
              <w:bottom w:type="dxa" w:w="80"/>
              <w:right w:type="dxa" w:w="120"/>
            </w:tcMar>
            <w:vAlign w:val="center"/>
          </w:tcPr>
          <w:p>
            <w:pPr>
              <w:jc w:val="center"/>
            </w:pPr>
            <w:r>
              <w:rPr>
                <w:b w:val="false"/>
                <w:bCs w:val="false"/>
                <w:sz w:val="20"/>
                <w:szCs w:val="20"/>
              </w:rPr>
              <w:t xml:space="preserve">34.8%</w:t>
            </w:r>
          </w:p>
        </w:tc>
      </w:tr>
      <w:tr>
        <w:tc>
          <w:tcPr>
            <w:tcW w:type="dxa" w:w="3800"/>
            <w:tcMar>
              <w:top w:type="dxa" w:w="80"/>
              <w:left w:type="dxa" w:w="120"/>
              <w:bottom w:type="dxa" w:w="80"/>
              <w:right w:type="dxa" w:w="120"/>
            </w:tcMar>
            <w:vAlign w:val="center"/>
          </w:tcPr>
          <w:p>
            <w:pPr>
              <w:jc w:val="left"/>
            </w:pPr>
            <w:r>
              <w:rPr>
                <w:b w:val="false"/>
                <w:bCs w:val="false"/>
                <w:sz w:val="20"/>
                <w:szCs w:val="20"/>
              </w:rPr>
              <w:t xml:space="preserve">negative</w:t>
            </w:r>
          </w:p>
        </w:tc>
        <w:tc>
          <w:tcPr>
            <w:tcW w:type="dxa" w:w="2400"/>
            <w:tcMar>
              <w:top w:type="dxa" w:w="80"/>
              <w:left w:type="dxa" w:w="120"/>
              <w:bottom w:type="dxa" w:w="80"/>
              <w:right w:type="dxa" w:w="120"/>
            </w:tcMar>
            <w:vAlign w:val="center"/>
          </w:tcPr>
          <w:p>
            <w:pPr>
              <w:jc w:val="center"/>
            </w:pPr>
            <w:r>
              <w:rPr>
                <w:b w:val="false"/>
                <w:bCs w:val="false"/>
                <w:sz w:val="20"/>
                <w:szCs w:val="20"/>
              </w:rPr>
              <w:t xml:space="preserve">1.730</w:t>
            </w:r>
          </w:p>
        </w:tc>
        <w:tc>
          <w:tcPr>
            <w:tcW w:type="dxa" w:w="2400"/>
            <w:tcMar>
              <w:top w:type="dxa" w:w="80"/>
              <w:left w:type="dxa" w:w="120"/>
              <w:bottom w:type="dxa" w:w="80"/>
              <w:right w:type="dxa" w:w="120"/>
            </w:tcMar>
            <w:vAlign w:val="center"/>
          </w:tcPr>
          <w:p>
            <w:pPr>
              <w:jc w:val="center"/>
            </w:pPr>
            <w:r>
              <w:rPr>
                <w:b w:val="false"/>
                <w:bCs w:val="false"/>
                <w:sz w:val="20"/>
                <w:szCs w:val="20"/>
              </w:rPr>
              <w:t xml:space="preserve">34.6%</w:t>
            </w:r>
          </w:p>
        </w:tc>
      </w:tr>
      <w:tr>
        <w:tc>
          <w:tcPr>
            <w:tcW w:type="dxa" w:w="3800"/>
            <w:tcMar>
              <w:top w:type="dxa" w:w="80"/>
              <w:left w:type="dxa" w:w="120"/>
              <w:bottom w:type="dxa" w:w="80"/>
              <w:right w:type="dxa" w:w="120"/>
            </w:tcMar>
            <w:vAlign w:val="center"/>
          </w:tcPr>
          <w:p>
            <w:pPr>
              <w:jc w:val="left"/>
            </w:pPr>
            <w:r>
              <w:rPr>
                <w:b w:val="false"/>
                <w:bCs w:val="false"/>
                <w:sz w:val="20"/>
                <w:szCs w:val="20"/>
              </w:rPr>
              <w:t xml:space="preserve">neutral</w:t>
            </w:r>
          </w:p>
        </w:tc>
        <w:tc>
          <w:tcPr>
            <w:tcW w:type="dxa" w:w="2400"/>
            <w:tcMar>
              <w:top w:type="dxa" w:w="80"/>
              <w:left w:type="dxa" w:w="120"/>
              <w:bottom w:type="dxa" w:w="80"/>
              <w:right w:type="dxa" w:w="120"/>
            </w:tcMar>
            <w:vAlign w:val="center"/>
          </w:tcPr>
          <w:p>
            <w:pPr>
              <w:jc w:val="center"/>
            </w:pPr>
            <w:r>
              <w:rPr>
                <w:b w:val="false"/>
                <w:bCs w:val="false"/>
                <w:sz w:val="20"/>
                <w:szCs w:val="20"/>
              </w:rPr>
              <w:t xml:space="preserve">1.530</w:t>
            </w:r>
          </w:p>
        </w:tc>
        <w:tc>
          <w:tcPr>
            <w:tcW w:type="dxa" w:w="2400"/>
            <w:tcMar>
              <w:top w:type="dxa" w:w="80"/>
              <w:left w:type="dxa" w:w="120"/>
              <w:bottom w:type="dxa" w:w="80"/>
              <w:right w:type="dxa" w:w="120"/>
            </w:tcMar>
            <w:vAlign w:val="center"/>
          </w:tcPr>
          <w:p>
            <w:pPr>
              <w:jc w:val="center"/>
            </w:pPr>
            <w:r>
              <w:rPr>
                <w:b w:val="false"/>
                <w:bCs w:val="false"/>
                <w:sz w:val="20"/>
                <w:szCs w:val="20"/>
              </w:rPr>
              <w:t xml:space="preserve">30.6%</w:t>
            </w:r>
          </w:p>
        </w:tc>
      </w:tr>
    </w:tbl>
    <w:p>
      <w:pPr>
        <w:spacing w:after="0" w:before="200"/>
      </w:pPr>
    </w:p>
    <w:p>
      <w:pPr>
        <w:spacing w:after="160" w:line="300"/>
      </w:pPr>
      <w:r>
        <w:t xml:space="preserve">Las tres clases están razonablemente balanceadas entre sí, lo que reduce la necesidad de técnicas agresivas de balanceo en esta etapa.</w:t>
      </w:r>
    </w:p>
    <w:p>
      <w:pPr>
        <w:pStyle w:val="Heading1"/>
        <w:spacing w:after="200" w:before="400"/>
      </w:pPr>
      <w:r>
        <w:t xml:space="preserve">3. Preprocesamiento</w:t>
      </w:r>
    </w:p>
    <w:p>
      <w:pPr>
        <w:pStyle w:val="Heading2"/>
        <w:spacing w:after="150" w:before="300"/>
      </w:pPr>
      <w:r>
        <w:t xml:space="preserve">3.1 Limpieza con expresiones regulares (Regex)</w:t>
      </w:r>
    </w:p>
    <w:p>
      <w:pPr>
        <w:spacing w:after="160" w:line="300"/>
      </w:pPr>
      <w:r>
        <w:t xml:space="preserve">Se documentan y guardan explícitamente las expresiones regulares utilizadas (artifacts/regex_used.txt):</w:t>
      </w:r>
    </w:p>
    <w:p>
      <w:pPr>
        <w:pStyle w:val="ListParagraph"/>
        <w:numPr>
          <w:ilvl w:val="0"/>
          <w:numId w:val="1"/>
        </w:numPr>
        <w:spacing w:after="100" w:line="300"/>
      </w:pPr>
      <w:r>
        <w:t xml:space="preserve">URLs: http\S+|www\.\S+ → eliminadas.</w:t>
      </w:r>
    </w:p>
    <w:p>
      <w:pPr>
        <w:pStyle w:val="ListParagraph"/>
        <w:numPr>
          <w:ilvl w:val="0"/>
          <w:numId w:val="1"/>
        </w:numPr>
        <w:spacing w:after="100" w:line="300"/>
      </w:pPr>
      <w:r>
        <w:t xml:space="preserve">Menciones: @\w+ → eliminadas.</w:t>
      </w:r>
    </w:p>
    <w:p>
      <w:pPr>
        <w:pStyle w:val="ListParagraph"/>
        <w:numPr>
          <w:ilvl w:val="0"/>
          <w:numId w:val="1"/>
        </w:numPr>
        <w:spacing w:after="100" w:line="300"/>
      </w:pPr>
      <w:r>
        <w:t xml:space="preserve">Hashtags: #\w+ → eliminados (decisión documentada: "eliminar").</w:t>
      </w:r>
    </w:p>
    <w:p>
      <w:pPr>
        <w:pStyle w:val="ListParagraph"/>
        <w:numPr>
          <w:ilvl w:val="0"/>
          <w:numId w:val="1"/>
        </w:numPr>
        <w:spacing w:after="100" w:line="300"/>
      </w:pPr>
      <w:r>
        <w:t xml:space="preserve">Caracteres no alfanuméricos: eliminados, con una excepción explícita para preservar emojis mediante rangos Unicode (U+1F300–U+1FAFF, U+2600–U+27BF).</w:t>
      </w:r>
    </w:p>
    <w:p>
      <w:pPr>
        <w:pStyle w:val="ListParagraph"/>
        <w:numPr>
          <w:ilvl w:val="0"/>
          <w:numId w:val="1"/>
        </w:numPr>
        <w:spacing w:after="100" w:line="300"/>
      </w:pPr>
      <w:r>
        <w:t xml:space="preserve">Normalización final: paso a minúsculas y colapso de espacios múltiples.</w:t>
      </w:r>
    </w:p>
    <w:p>
      <w:pPr>
        <w:pStyle w:val="Heading2"/>
        <w:spacing w:after="150" w:before="300"/>
      </w:pPr>
      <w:r>
        <w:t xml:space="preserve">3.2 Tokenización</w:t>
      </w:r>
    </w:p>
    <w:p>
      <w:pPr>
        <w:spacing w:after="160" w:line="300"/>
      </w:pPr>
      <w:r>
        <w:t xml:space="preserve">Se aplica una tokenización simple por espacios sobre el texto ya limpio (simple_tokenize) para los análisis preliminares, y tokenización lingüística real a través de NLTK (word_tokenize) y spaCy (pipeline en_core_web_sm) para el proceso de lematización.</w:t>
      </w:r>
    </w:p>
    <w:p>
      <w:pPr>
        <w:pStyle w:val="Heading2"/>
        <w:spacing w:after="150" w:before="300"/>
      </w:pPr>
      <w:r>
        <w:t xml:space="preserve">3.3 Comparación de lematización: NLTK vs spaCy</w:t>
      </w:r>
    </w:p>
    <w:p>
      <w:pPr>
        <w:spacing w:after="160" w:line="300"/>
      </w:pPr>
      <w:r>
        <w:t xml:space="preserve">Sobre una muestra fija de 500 comentarios se compararon ambos enfoques (src/comparacion_NLTK vs spaCy.py):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000"/>
        <w:gridCol w:w="3300"/>
        <w:gridCol w:w="3300"/>
      </w:tblGrid>
      <w:tr>
        <w:trPr>
          <w:tblHeader/>
        </w:trPr>
        <w:tc>
          <w:tcPr>
            <w:tcW w:type="dxa" w:w="4000"/>
            <w:shd w:fill="1F4E78" w:val="clear"/>
            <w:tcMar>
              <w:top w:type="dxa" w:w="80"/>
              <w:left w:type="dxa" w:w="120"/>
              <w:bottom w:type="dxa" w:w="80"/>
              <w:right w:type="dxa" w:w="120"/>
            </w:tcMar>
            <w:vAlign w:val="center"/>
          </w:tcPr>
          <w:p>
            <w:pPr>
              <w:jc w:val="left"/>
            </w:pPr>
            <w:r>
              <w:rPr>
                <w:b/>
                <w:bCs/>
                <w:color w:val="FFFFFF"/>
                <w:sz w:val="20"/>
                <w:szCs w:val="20"/>
              </w:rPr>
              <w:t xml:space="preserve">Métrica</w:t>
            </w:r>
          </w:p>
        </w:tc>
        <w:tc>
          <w:tcPr>
            <w:tcW w:type="dxa" w:w="3300"/>
            <w:shd w:fill="1F4E78" w:val="clear"/>
            <w:tcMar>
              <w:top w:type="dxa" w:w="80"/>
              <w:left w:type="dxa" w:w="120"/>
              <w:bottom w:type="dxa" w:w="80"/>
              <w:right w:type="dxa" w:w="120"/>
            </w:tcMar>
            <w:vAlign w:val="center"/>
          </w:tcPr>
          <w:p>
            <w:pPr>
              <w:jc w:val="left"/>
            </w:pPr>
            <w:r>
              <w:rPr>
                <w:b/>
                <w:bCs/>
                <w:color w:val="FFFFFF"/>
                <w:sz w:val="20"/>
                <w:szCs w:val="20"/>
              </w:rPr>
              <w:t xml:space="preserve">NLTK (WordNetLemmatizer)</w:t>
            </w:r>
          </w:p>
        </w:tc>
        <w:tc>
          <w:tcPr>
            <w:tcW w:type="dxa" w:w="3300"/>
            <w:shd w:fill="1F4E78" w:val="clear"/>
            <w:tcMar>
              <w:top w:type="dxa" w:w="80"/>
              <w:left w:type="dxa" w:w="120"/>
              <w:bottom w:type="dxa" w:w="80"/>
              <w:right w:type="dxa" w:w="120"/>
            </w:tcMar>
            <w:vAlign w:val="center"/>
          </w:tcPr>
          <w:p>
            <w:pPr>
              <w:jc w:val="left"/>
            </w:pPr>
            <w:r>
              <w:rPr>
                <w:b/>
                <w:bCs/>
                <w:color w:val="FFFFFF"/>
                <w:sz w:val="20"/>
                <w:szCs w:val="20"/>
              </w:rPr>
              <w:t xml:space="preserve">spaCy (en_core_web_sm)</w:t>
            </w:r>
          </w:p>
        </w:tc>
      </w:tr>
      <w:tr>
        <w:tc>
          <w:tcPr>
            <w:tcW w:type="dxa" w:w="4000"/>
            <w:tcMar>
              <w:top w:type="dxa" w:w="80"/>
              <w:left w:type="dxa" w:w="120"/>
              <w:bottom w:type="dxa" w:w="80"/>
              <w:right w:type="dxa" w:w="120"/>
            </w:tcMar>
            <w:vAlign w:val="center"/>
          </w:tcPr>
          <w:p>
            <w:pPr>
              <w:jc w:val="left"/>
            </w:pPr>
            <w:r>
              <w:rPr>
                <w:b w:val="false"/>
                <w:bCs w:val="false"/>
                <w:sz w:val="20"/>
                <w:szCs w:val="20"/>
              </w:rPr>
              <w:t xml:space="preserve">Tiempo de procesamiento (500 docs)</w:t>
            </w:r>
          </w:p>
        </w:tc>
        <w:tc>
          <w:tcPr>
            <w:tcW w:type="dxa" w:w="3300"/>
            <w:tcMar>
              <w:top w:type="dxa" w:w="80"/>
              <w:left w:type="dxa" w:w="120"/>
              <w:bottom w:type="dxa" w:w="80"/>
              <w:right w:type="dxa" w:w="120"/>
            </w:tcMar>
            <w:vAlign w:val="center"/>
          </w:tcPr>
          <w:p>
            <w:pPr>
              <w:jc w:val="center"/>
            </w:pPr>
            <w:r>
              <w:rPr>
                <w:b w:val="false"/>
                <w:bCs w:val="false"/>
                <w:sz w:val="20"/>
                <w:szCs w:val="20"/>
              </w:rPr>
              <w:t xml:space="preserve">1.99 s</w:t>
            </w:r>
          </w:p>
        </w:tc>
        <w:tc>
          <w:tcPr>
            <w:tcW w:type="dxa" w:w="3300"/>
            <w:tcMar>
              <w:top w:type="dxa" w:w="80"/>
              <w:left w:type="dxa" w:w="120"/>
              <w:bottom w:type="dxa" w:w="80"/>
              <w:right w:type="dxa" w:w="120"/>
            </w:tcMar>
            <w:vAlign w:val="center"/>
          </w:tcPr>
          <w:p>
            <w:pPr>
              <w:jc w:val="center"/>
            </w:pPr>
            <w:r>
              <w:rPr>
                <w:b w:val="false"/>
                <w:bCs w:val="false"/>
                <w:sz w:val="20"/>
                <w:szCs w:val="20"/>
              </w:rPr>
              <w:t xml:space="preserve">3.14 s</w:t>
            </w:r>
          </w:p>
        </w:tc>
      </w:tr>
      <w:tr>
        <w:tc>
          <w:tcPr>
            <w:tcW w:type="dxa" w:w="4000"/>
            <w:tcMar>
              <w:top w:type="dxa" w:w="80"/>
              <w:left w:type="dxa" w:w="120"/>
              <w:bottom w:type="dxa" w:w="80"/>
              <w:right w:type="dxa" w:w="120"/>
            </w:tcMar>
            <w:vAlign w:val="center"/>
          </w:tcPr>
          <w:p>
            <w:pPr>
              <w:jc w:val="left"/>
            </w:pPr>
            <w:r>
              <w:rPr>
                <w:b w:val="false"/>
                <w:bCs w:val="false"/>
                <w:sz w:val="20"/>
                <w:szCs w:val="20"/>
              </w:rPr>
              <w:t xml:space="preserve">Tokens modificados</w:t>
            </w:r>
          </w:p>
        </w:tc>
        <w:tc>
          <w:tcPr>
            <w:tcW w:type="dxa" w:w="3300"/>
            <w:tcMar>
              <w:top w:type="dxa" w:w="80"/>
              <w:left w:type="dxa" w:w="120"/>
              <w:bottom w:type="dxa" w:w="80"/>
              <w:right w:type="dxa" w:w="120"/>
            </w:tcMar>
            <w:vAlign w:val="center"/>
          </w:tcPr>
          <w:p>
            <w:pPr>
              <w:jc w:val="center"/>
            </w:pPr>
            <w:r>
              <w:rPr>
                <w:b w:val="false"/>
                <w:bCs w:val="false"/>
                <w:sz w:val="20"/>
                <w:szCs w:val="20"/>
              </w:rPr>
              <w:t xml:space="preserve">496 de 8.810 (5.63%)</w:t>
            </w:r>
          </w:p>
        </w:tc>
        <w:tc>
          <w:tcPr>
            <w:tcW w:type="dxa" w:w="3300"/>
            <w:tcMar>
              <w:top w:type="dxa" w:w="80"/>
              <w:left w:type="dxa" w:w="120"/>
              <w:bottom w:type="dxa" w:w="80"/>
              <w:right w:type="dxa" w:w="120"/>
            </w:tcMar>
            <w:vAlign w:val="center"/>
          </w:tcPr>
          <w:p>
            <w:pPr>
              <w:jc w:val="center"/>
            </w:pPr>
            <w:r>
              <w:rPr>
                <w:b w:val="false"/>
                <w:bCs w:val="false"/>
                <w:sz w:val="20"/>
                <w:szCs w:val="20"/>
              </w:rPr>
              <w:t xml:space="preserve">1.487 de 8.810 (16.88%)</w:t>
            </w:r>
          </w:p>
        </w:tc>
      </w:tr>
    </w:tbl>
    <w:p>
      <w:pPr>
        <w:spacing w:after="100" w:before="200"/>
      </w:pPr>
    </w:p>
    <w:p>
      <w:pPr>
        <w:spacing w:after="160" w:line="300"/>
      </w:pPr>
      <w:r>
        <w:t xml:space="preserve">Además del tiempo y el porcentaje de cambio, se aplicó una heurística de desempate basada en cobertura de WordNet (cuántos lemas resultantes son palabras válidas) y longitud promedio del lema, guardada en artifacts/lemmatization_comparison.csv.</w:t>
      </w:r>
    </w:p>
    <w:p>
      <w:pPr>
        <w:spacing w:after="160" w:line="300"/>
      </w:pPr>
      <w:r>
        <w:t xml:space="preserve">Decisión final: se adoptó spaCy para el pipeline definitivo (src/preprocessing_final_spaCy.py). Aunque es ~1.6× más lento y modifica una proporción de tokens tres veces mayor que NLTK, spaCy realiza una lematización morfosintáctica (basada en POS-tagging), lo que produce lemas más consistentes en formas verbales irregulares (por ejemplo, "is/was" → "be", "fought" → "fight"), mientras que NLTK WordNetLemmatizer, al no usar información de contexto por defecto, deja sin normalizar una porción mayor del vocabulario.</w:t>
      </w:r>
    </w:p>
    <w:p>
      <w:pPr>
        <w:pStyle w:val="Heading1"/>
        <w:spacing w:after="200" w:before="400"/>
      </w:pPr>
      <w:r>
        <w:t xml:space="preserve">4. Representación numérica (TF-IDF)</w:t>
      </w:r>
    </w:p>
    <w:p>
      <w:pPr>
        <w:pStyle w:val="Heading2"/>
        <w:spacing w:after="150" w:before="300"/>
      </w:pPr>
      <w:r>
        <w:t xml:space="preserve">4.1 Aplicación de TfidfVectorizer</w:t>
      </w:r>
    </w:p>
    <w:p>
      <w:pPr>
        <w:spacing w:after="160" w:line="300"/>
      </w:pPr>
      <w:r>
        <w:t xml:space="preserve">Se utiliza sklearn.feature_extraction.text.TfidfVectorizer (src/vectorize_and_split.py) con la siguiente configuración:</w:t>
      </w:r>
    </w:p>
    <w:p>
      <w:pPr>
        <w:pStyle w:val="ListParagraph"/>
        <w:numPr>
          <w:ilvl w:val="0"/>
          <w:numId w:val="1"/>
        </w:numPr>
        <w:spacing w:after="100" w:line="300"/>
      </w:pPr>
      <w:r>
        <w:t xml:space="preserve">max_features = 20.000, ngram_range = (1, 2), min_df = 5, sublinear_tf = True, norm = 'l2'.</w:t>
      </w:r>
    </w:p>
    <w:p>
      <w:pPr>
        <w:pStyle w:val="ListParagraph"/>
        <w:numPr>
          <w:ilvl w:val="0"/>
          <w:numId w:val="1"/>
        </w:numPr>
        <w:spacing w:after="100" w:line="300"/>
      </w:pPr>
      <w:r>
        <w:t xml:space="preserve">Vocabulario final resultante: 1.526 features (por debajo del máximo teórico de 20.000, ya que min_df = 5 descarta términos que aparecen en menos de 5 documentos).</w:t>
      </w:r>
    </w:p>
    <w:p>
      <w:pPr>
        <w:pStyle w:val="ListParagraph"/>
        <w:numPr>
          <w:ilvl w:val="0"/>
          <w:numId w:val="1"/>
        </w:numPr>
        <w:spacing w:after="100" w:line="300"/>
      </w:pPr>
      <w:r>
        <w:t xml:space="preserve">Las etiquetas de sentimiento (positive / negative / neutral) se generan en este mismo paso aplicando NLTK VADER (SentimentIntensityAnalyzer) sobre el texto lematizado, con umbrales estándar (compound ≥ 0.05 → positive; ≤ -0.05 → negative; resto → neutral).</w:t>
      </w:r>
    </w:p>
    <w:p>
      <w:pPr>
        <w:pStyle w:val="Heading2"/>
        <w:spacing w:after="150" w:before="300"/>
      </w:pPr>
      <w:r>
        <w:t xml:space="preserve">4.2 Reflexión: ¿por qué TF-IDF y no un conteo simple de palabras?</w:t>
      </w:r>
    </w:p>
    <w:p>
      <w:pPr>
        <w:spacing w:after="160" w:line="300"/>
      </w:pPr>
      <w:r>
        <w:t xml:space="preserve">El propio EDA (sección 2.2) mostró que, en un conteo simple (Bag-of-Words), los términos más frecuentes del corpus son artículos, pronombres y preposiciones ("the", "he", "to", "is", "and"...), es decir, palabras sin carga de sentimiento. Un vector de conteo puro les asignaría el peso más alto, diluyendo la señal relevante para clasificar polaridad.</w:t>
      </w:r>
    </w:p>
    <w:p>
      <w:pPr>
        <w:spacing w:after="160" w:line="300"/>
      </w:pPr>
      <w:r>
        <w:t xml:space="preserve">TF-IDF corrige este problema de dos maneras complementarias:</w:t>
      </w:r>
    </w:p>
    <w:p>
      <w:pPr>
        <w:pStyle w:val="ListParagraph"/>
        <w:numPr>
          <w:ilvl w:val="0"/>
          <w:numId w:val="1"/>
        </w:numPr>
        <w:spacing w:after="100" w:line="300"/>
      </w:pPr>
      <w:r>
        <w:t xml:space="preserve">Pondera cada término por su frecuencia dentro del comentario (TF) y, a la vez, por la inversa de su frecuencia en el corpus (IDF), penalizando palabras que aparecen en casi todos los documentos (poco informativas) y resaltando las que son distintivas de un subconjunto de comentarios.</w:t>
      </w:r>
    </w:p>
    <w:p>
      <w:pPr>
        <w:pStyle w:val="ListParagraph"/>
        <w:numPr>
          <w:ilvl w:val="0"/>
          <w:numId w:val="1"/>
        </w:numPr>
        <w:spacing w:after="100" w:line="300"/>
      </w:pPr>
      <w:r>
        <w:t xml:space="preserve">El uso de sublinear_tf comprime la frecuencia (1 + log(tf)) para que comentarios muy largos o repetitivos no dominen la representación solo por su extensión.</w:t>
      </w:r>
    </w:p>
    <w:p>
      <w:pPr>
        <w:pStyle w:val="ListParagraph"/>
        <w:numPr>
          <w:ilvl w:val="0"/>
          <w:numId w:val="1"/>
        </w:numPr>
        <w:spacing w:after="100" w:line="300"/>
      </w:pPr>
      <w:r>
        <w:t xml:space="preserve">Incluir bigramas (ngram_range = (1,2)) permite capturar negaciones y expresiones compuestas relevantes para sentimiento ("the goat", "to fight", "don t"), que un modelo de unigramas puro perdería.</w:t>
      </w:r>
    </w:p>
    <w:p>
      <w:pPr>
        <w:spacing w:after="160" w:line="300"/>
      </w:pPr>
      <w:r>
        <w:t xml:space="preserve">Esta decisión se valida empíricamente: al revisar los términos con mayor peso TF-IDF promedio (artifacts/top_features_global.csv y top_features_by_class.csv), ya no aparecen stopwords sino palabras con carga semántica clara, por ejemplo: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8000"/>
      </w:tblGrid>
      <w:tr>
        <w:trPr>
          <w:tblHeader/>
        </w:trPr>
        <w:tc>
          <w:tcPr>
            <w:tcW w:type="dxa" w:w="2600"/>
            <w:shd w:fill="1F4E78" w:val="clear"/>
            <w:tcMar>
              <w:top w:type="dxa" w:w="80"/>
              <w:left w:type="dxa" w:w="120"/>
              <w:bottom w:type="dxa" w:w="80"/>
              <w:right w:type="dxa" w:w="120"/>
            </w:tcMar>
            <w:vAlign w:val="center"/>
          </w:tcPr>
          <w:p>
            <w:pPr>
              <w:jc w:val="left"/>
            </w:pPr>
            <w:r>
              <w:rPr>
                <w:b/>
                <w:bCs/>
                <w:color w:val="FFFFFF"/>
                <w:sz w:val="20"/>
                <w:szCs w:val="20"/>
              </w:rPr>
              <w:t xml:space="preserve">Clase</w:t>
            </w:r>
          </w:p>
        </w:tc>
        <w:tc>
          <w:tcPr>
            <w:tcW w:type="dxa" w:w="8000"/>
            <w:shd w:fill="1F4E78" w:val="clear"/>
            <w:tcMar>
              <w:top w:type="dxa" w:w="80"/>
              <w:left w:type="dxa" w:w="120"/>
              <w:bottom w:type="dxa" w:w="80"/>
              <w:right w:type="dxa" w:w="120"/>
            </w:tcMar>
            <w:vAlign w:val="center"/>
          </w:tcPr>
          <w:p>
            <w:pPr>
              <w:jc w:val="left"/>
            </w:pPr>
            <w:r>
              <w:rPr>
                <w:b/>
                <w:bCs/>
                <w:color w:val="FFFFFF"/>
                <w:sz w:val="20"/>
                <w:szCs w:val="20"/>
              </w:rPr>
              <w:t xml:space="preserve">Features TF-IDF más relevantes</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negative</w:t>
            </w:r>
          </w:p>
        </w:tc>
        <w:tc>
          <w:tcPr>
            <w:tcW w:type="dxa" w:w="8000"/>
            <w:tcMar>
              <w:top w:type="dxa" w:w="80"/>
              <w:left w:type="dxa" w:w="120"/>
              <w:bottom w:type="dxa" w:w="80"/>
              <w:right w:type="dxa" w:w="120"/>
            </w:tcMar>
            <w:vAlign w:val="center"/>
          </w:tcPr>
          <w:p>
            <w:pPr>
              <w:jc w:val="center"/>
            </w:pPr>
            <w:r>
              <w:rPr>
                <w:b w:val="false"/>
                <w:bCs w:val="false"/>
                <w:sz w:val="20"/>
                <w:szCs w:val="20"/>
              </w:rPr>
              <w:t xml:space="preserve">fight, lose, scared, shit, bad, dc, guy</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positive</w:t>
            </w:r>
          </w:p>
        </w:tc>
        <w:tc>
          <w:tcPr>
            <w:tcW w:type="dxa" w:w="8000"/>
            <w:tcMar>
              <w:top w:type="dxa" w:w="80"/>
              <w:left w:type="dxa" w:w="120"/>
              <w:bottom w:type="dxa" w:w="80"/>
              <w:right w:type="dxa" w:w="120"/>
            </w:tcMar>
            <w:vAlign w:val="center"/>
          </w:tcPr>
          <w:p>
            <w:pPr>
              <w:jc w:val="center"/>
            </w:pPr>
            <w:r>
              <w:rPr>
                <w:b w:val="false"/>
                <w:bCs w:val="false"/>
                <w:sz w:val="20"/>
                <w:szCs w:val="20"/>
              </w:rPr>
              <w:t xml:space="preserve">good, win, great, love, fighter, lol</w:t>
            </w:r>
          </w:p>
        </w:tc>
      </w:tr>
    </w:tbl>
    <w:p>
      <w:pPr>
        <w:spacing w:after="0" w:before="200"/>
      </w:pPr>
    </w:p>
    <w:p>
      <w:pPr>
        <w:pStyle w:val="Heading1"/>
        <w:spacing w:after="200" w:before="400"/>
      </w:pPr>
      <w:r>
        <w:t xml:space="preserve">5. Modelado con Deep Learning</w:t>
      </w:r>
    </w:p>
    <w:p>
      <w:pPr>
        <w:spacing w:after="160" w:line="300"/>
      </w:pPr>
      <w:r>
        <w:t xml:space="preserve">Se implementa la clase TextClassifier(nn.Module) en src/train.py, con la siguiente arquitectura:</w:t>
      </w:r>
    </w:p>
    <w:p>
      <w:pPr>
        <w:pStyle w:val="ListParagraph"/>
        <w:numPr>
          <w:ilvl w:val="0"/>
          <w:numId w:val="1"/>
        </w:numPr>
        <w:spacing w:after="100" w:line="300"/>
      </w:pPr>
      <w:r>
        <w:t xml:space="preserve">fc1: capa densa (Linear) de input_dim → 1.024 neuronas, seguida de BatchNorm1d(1024), ReLU y Dropout(p = 0.5).</w:t>
      </w:r>
    </w:p>
    <w:p>
      <w:pPr>
        <w:pStyle w:val="ListParagraph"/>
        <w:numPr>
          <w:ilvl w:val="0"/>
          <w:numId w:val="1"/>
        </w:numPr>
        <w:spacing w:after="100" w:line="300"/>
      </w:pPr>
      <w:r>
        <w:t xml:space="preserve">fc2: capa densa de 1.024 → 256 neuronas, seguida de BatchNorm1d(256), ReLU y Dropout(p = 0.5).</w:t>
      </w:r>
    </w:p>
    <w:p>
      <w:pPr>
        <w:pStyle w:val="ListParagraph"/>
        <w:numPr>
          <w:ilvl w:val="0"/>
          <w:numId w:val="1"/>
        </w:numPr>
        <w:spacing w:after="100" w:line="300"/>
      </w:pPr>
      <w:r>
        <w:t xml:space="preserve">fc3: capa de salida, 256 → n_classes (capa de clasificación final, sin activación, para usarse con CrossEntropyLoss).</w:t>
      </w:r>
    </w:p>
    <w:p>
      <w:pPr>
        <w:spacing w:after="160" w:line="300"/>
      </w:pPr>
      <w:r>
        <w:t xml:space="preserve">La arquitectura cumple los tres requisitos exigidos: (1) al menos dos capas densas ocultas, (2) Batch Normalization después de cada capa oculta, y (3) Dropout con p = 0.5 aplicado tras cada bloque. La dimensión de entrada real utilizada es input_dim = 1.526 (coincide con el tamaño del vocabulario TF-IDF) y n_classes = 2 (ver aclaración metodológica en la sección 7.4).</w:t>
      </w:r>
    </w:p>
    <w:p>
      <w:pPr>
        <w:pStyle w:val="Heading1"/>
        <w:spacing w:after="200" w:before="400"/>
      </w:pPr>
      <w:r>
        <w:t xml:space="preserve">6. Entrenamiento</w:t>
      </w:r>
    </w:p>
    <w:p>
      <w:pPr>
        <w:pStyle w:val="ListParagraph"/>
        <w:numPr>
          <w:ilvl w:val="0"/>
          <w:numId w:val="1"/>
        </w:numPr>
        <w:spacing w:after="100" w:line="300"/>
      </w:pPr>
      <w:r>
        <w:t xml:space="preserve">Optimizador: Adam (torch.optim.Adam), learning rate = 1e-3.</w:t>
      </w:r>
    </w:p>
    <w:p>
      <w:pPr>
        <w:pStyle w:val="ListParagraph"/>
        <w:numPr>
          <w:ilvl w:val="0"/>
          <w:numId w:val="1"/>
        </w:numPr>
        <w:spacing w:after="100" w:line="300"/>
      </w:pPr>
      <w:r>
        <w:t xml:space="preserve">Función de pérdida: CrossEntropyLoss, ponderada con class_weights para compensar el leve desbalance entre clases del set de entrenamiento.</w:t>
      </w:r>
    </w:p>
    <w:p>
      <w:pPr>
        <w:pStyle w:val="ListParagraph"/>
        <w:numPr>
          <w:ilvl w:val="0"/>
          <w:numId w:val="1"/>
        </w:numPr>
        <w:spacing w:after="100" w:line="300"/>
      </w:pPr>
      <w:r>
        <w:t xml:space="preserve">Early stopping: se monitorea la pérdida de validación (val_loss) y se detiene el entrenamiento si no mejora durante 5 épocas consecutivas (patience = 5), guardando siempre el mejor checkpoint (artifacts/best_model.pt).</w:t>
      </w:r>
    </w:p>
    <w:p>
      <w:pPr>
        <w:pStyle w:val="ListParagraph"/>
        <w:numPr>
          <w:ilvl w:val="0"/>
          <w:numId w:val="1"/>
        </w:numPr>
        <w:spacing w:after="100" w:line="300"/>
      </w:pPr>
      <w:r>
        <w:t xml:space="preserve">Otros hiperparámetros: batch_size = 64, épocas máximas = 50, semilla = 42.</w:t>
      </w:r>
    </w:p>
    <w:p>
      <w:pPr>
        <w:spacing w:after="160" w:line="300"/>
      </w:pPr>
      <w:r>
        <w:t xml:space="preserve">En la corrida registrada en el repositorio, el mejor modelo se obtuvo en la época 2 (val_loss = 0.3834) y el entrenamiento se detuvo por early stopping en la época 7, tal como se documenta en artifacts/training_config.txt y artifacts/analysis_summary.txt.</w:t>
      </w:r>
    </w:p>
    <w:p>
      <w:pPr>
        <w:pStyle w:val="Heading2"/>
        <w:spacing w:after="150" w:before="300"/>
      </w:pPr>
      <w:r>
        <w:t xml:space="preserve">6.1 Partición de datos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900"/>
        <w:gridCol w:w="2900"/>
      </w:tblGrid>
      <w:tr>
        <w:trPr>
          <w:tblHeader/>
        </w:trPr>
        <w:tc>
          <w:tcPr>
            <w:tcW w:type="dxa" w:w="2600"/>
            <w:shd w:fill="1F4E78" w:val="clear"/>
            <w:tcMar>
              <w:top w:type="dxa" w:w="80"/>
              <w:left w:type="dxa" w:w="120"/>
              <w:bottom w:type="dxa" w:w="80"/>
              <w:right w:type="dxa" w:w="120"/>
            </w:tcMar>
            <w:vAlign w:val="center"/>
          </w:tcPr>
          <w:p>
            <w:pPr>
              <w:jc w:val="left"/>
            </w:pPr>
            <w:r>
              <w:rPr>
                <w:b/>
                <w:bCs/>
                <w:color w:val="FFFFFF"/>
                <w:sz w:val="20"/>
                <w:szCs w:val="20"/>
              </w:rPr>
              <w:t xml:space="preserve">Conjunto</w:t>
            </w:r>
          </w:p>
        </w:tc>
        <w:tc>
          <w:tcPr>
            <w:tcW w:type="dxa" w:w="2200"/>
            <w:shd w:fill="1F4E78" w:val="clear"/>
            <w:tcMar>
              <w:top w:type="dxa" w:w="80"/>
              <w:left w:type="dxa" w:w="120"/>
              <w:bottom w:type="dxa" w:w="80"/>
              <w:right w:type="dxa" w:w="120"/>
            </w:tcMar>
            <w:vAlign w:val="center"/>
          </w:tcPr>
          <w:p>
            <w:pPr>
              <w:jc w:val="left"/>
            </w:pPr>
            <w:r>
              <w:rPr>
                <w:b/>
                <w:bCs/>
                <w:color w:val="FFFFFF"/>
                <w:sz w:val="20"/>
                <w:szCs w:val="20"/>
              </w:rPr>
              <w:t xml:space="preserve">Registros</w:t>
            </w:r>
          </w:p>
        </w:tc>
        <w:tc>
          <w:tcPr>
            <w:tcW w:type="dxa" w:w="2900"/>
            <w:shd w:fill="1F4E78" w:val="clear"/>
            <w:tcMar>
              <w:top w:type="dxa" w:w="80"/>
              <w:left w:type="dxa" w:w="120"/>
              <w:bottom w:type="dxa" w:w="80"/>
              <w:right w:type="dxa" w:w="120"/>
            </w:tcMar>
            <w:vAlign w:val="center"/>
          </w:tcPr>
          <w:p>
            <w:pPr>
              <w:jc w:val="left"/>
            </w:pPr>
            <w:r>
              <w:rPr>
                <w:b/>
                <w:bCs/>
                <w:color w:val="FFFFFF"/>
                <w:sz w:val="20"/>
                <w:szCs w:val="20"/>
              </w:rPr>
              <w:t xml:space="preserve">Clase 0 (negative)</w:t>
            </w:r>
          </w:p>
        </w:tc>
        <w:tc>
          <w:tcPr>
            <w:tcW w:type="dxa" w:w="2900"/>
            <w:shd w:fill="1F4E78" w:val="clear"/>
            <w:tcMar>
              <w:top w:type="dxa" w:w="80"/>
              <w:left w:type="dxa" w:w="120"/>
              <w:bottom w:type="dxa" w:w="80"/>
              <w:right w:type="dxa" w:w="120"/>
            </w:tcMar>
            <w:vAlign w:val="center"/>
          </w:tcPr>
          <w:p>
            <w:pPr>
              <w:jc w:val="left"/>
            </w:pPr>
            <w:r>
              <w:rPr>
                <w:b/>
                <w:bCs/>
                <w:color w:val="FFFFFF"/>
                <w:sz w:val="20"/>
                <w:szCs w:val="20"/>
              </w:rPr>
              <w:t xml:space="preserve">Clase 1 (positive+neutral)</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Train</w:t>
            </w:r>
          </w:p>
        </w:tc>
        <w:tc>
          <w:tcPr>
            <w:tcW w:type="dxa" w:w="2200"/>
            <w:tcMar>
              <w:top w:type="dxa" w:w="80"/>
              <w:left w:type="dxa" w:w="120"/>
              <w:bottom w:type="dxa" w:w="80"/>
              <w:right w:type="dxa" w:w="120"/>
            </w:tcMar>
            <w:vAlign w:val="center"/>
          </w:tcPr>
          <w:p>
            <w:pPr>
              <w:jc w:val="center"/>
            </w:pPr>
            <w:r>
              <w:rPr>
                <w:b w:val="false"/>
                <w:bCs w:val="false"/>
                <w:sz w:val="20"/>
                <w:szCs w:val="20"/>
              </w:rPr>
              <w:t xml:space="preserve">4.250</w:t>
            </w:r>
          </w:p>
        </w:tc>
        <w:tc>
          <w:tcPr>
            <w:tcW w:type="dxa" w:w="2900"/>
            <w:tcMar>
              <w:top w:type="dxa" w:w="80"/>
              <w:left w:type="dxa" w:w="120"/>
              <w:bottom w:type="dxa" w:w="80"/>
              <w:right w:type="dxa" w:w="120"/>
            </w:tcMar>
            <w:vAlign w:val="center"/>
          </w:tcPr>
          <w:p>
            <w:pPr>
              <w:jc w:val="center"/>
            </w:pPr>
            <w:r>
              <w:rPr>
                <w:b w:val="false"/>
                <w:bCs w:val="false"/>
                <w:sz w:val="20"/>
                <w:szCs w:val="20"/>
              </w:rPr>
              <w:t xml:space="preserve">1.470</w:t>
            </w:r>
          </w:p>
        </w:tc>
        <w:tc>
          <w:tcPr>
            <w:tcW w:type="dxa" w:w="2900"/>
            <w:tcMar>
              <w:top w:type="dxa" w:w="80"/>
              <w:left w:type="dxa" w:w="120"/>
              <w:bottom w:type="dxa" w:w="80"/>
              <w:right w:type="dxa" w:w="120"/>
            </w:tcMar>
            <w:vAlign w:val="center"/>
          </w:tcPr>
          <w:p>
            <w:pPr>
              <w:jc w:val="center"/>
            </w:pPr>
            <w:r>
              <w:rPr>
                <w:b w:val="false"/>
                <w:bCs w:val="false"/>
                <w:sz w:val="20"/>
                <w:szCs w:val="20"/>
              </w:rPr>
              <w:t xml:space="preserve">2.780</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Validation</w:t>
            </w:r>
          </w:p>
        </w:tc>
        <w:tc>
          <w:tcPr>
            <w:tcW w:type="dxa" w:w="2200"/>
            <w:tcMar>
              <w:top w:type="dxa" w:w="80"/>
              <w:left w:type="dxa" w:w="120"/>
              <w:bottom w:type="dxa" w:w="80"/>
              <w:right w:type="dxa" w:w="120"/>
            </w:tcMar>
            <w:vAlign w:val="center"/>
          </w:tcPr>
          <w:p>
            <w:pPr>
              <w:jc w:val="center"/>
            </w:pPr>
            <w:r>
              <w:rPr>
                <w:b w:val="false"/>
                <w:bCs w:val="false"/>
                <w:sz w:val="20"/>
                <w:szCs w:val="20"/>
              </w:rPr>
              <w:t xml:space="preserve">375</w:t>
            </w:r>
          </w:p>
        </w:tc>
        <w:tc>
          <w:tcPr>
            <w:tcW w:type="dxa" w:w="2900"/>
            <w:tcMar>
              <w:top w:type="dxa" w:w="80"/>
              <w:left w:type="dxa" w:w="120"/>
              <w:bottom w:type="dxa" w:w="80"/>
              <w:right w:type="dxa" w:w="120"/>
            </w:tcMar>
            <w:vAlign w:val="center"/>
          </w:tcPr>
          <w:p>
            <w:pPr>
              <w:jc w:val="center"/>
            </w:pPr>
            <w:r>
              <w:rPr>
                <w:b w:val="false"/>
                <w:bCs w:val="false"/>
                <w:sz w:val="20"/>
                <w:szCs w:val="20"/>
              </w:rPr>
              <w:t xml:space="preserve">130</w:t>
            </w:r>
          </w:p>
        </w:tc>
        <w:tc>
          <w:tcPr>
            <w:tcW w:type="dxa" w:w="2900"/>
            <w:tcMar>
              <w:top w:type="dxa" w:w="80"/>
              <w:left w:type="dxa" w:w="120"/>
              <w:bottom w:type="dxa" w:w="80"/>
              <w:right w:type="dxa" w:w="120"/>
            </w:tcMar>
            <w:vAlign w:val="center"/>
          </w:tcPr>
          <w:p>
            <w:pPr>
              <w:jc w:val="center"/>
            </w:pPr>
            <w:r>
              <w:rPr>
                <w:b w:val="false"/>
                <w:bCs w:val="false"/>
                <w:sz w:val="20"/>
                <w:szCs w:val="20"/>
              </w:rPr>
              <w:t xml:space="preserve">245</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Test</w:t>
            </w:r>
          </w:p>
        </w:tc>
        <w:tc>
          <w:tcPr>
            <w:tcW w:type="dxa" w:w="2200"/>
            <w:tcMar>
              <w:top w:type="dxa" w:w="80"/>
              <w:left w:type="dxa" w:w="120"/>
              <w:bottom w:type="dxa" w:w="80"/>
              <w:right w:type="dxa" w:w="120"/>
            </w:tcMar>
            <w:vAlign w:val="center"/>
          </w:tcPr>
          <w:p>
            <w:pPr>
              <w:jc w:val="center"/>
            </w:pPr>
            <w:r>
              <w:rPr>
                <w:b w:val="false"/>
                <w:bCs w:val="false"/>
                <w:sz w:val="20"/>
                <w:szCs w:val="20"/>
              </w:rPr>
              <w:t xml:space="preserve">375</w:t>
            </w:r>
          </w:p>
        </w:tc>
        <w:tc>
          <w:tcPr>
            <w:tcW w:type="dxa" w:w="2900"/>
            <w:tcMar>
              <w:top w:type="dxa" w:w="80"/>
              <w:left w:type="dxa" w:w="120"/>
              <w:bottom w:type="dxa" w:w="80"/>
              <w:right w:type="dxa" w:w="120"/>
            </w:tcMar>
            <w:vAlign w:val="center"/>
          </w:tcPr>
          <w:p>
            <w:pPr>
              <w:jc w:val="center"/>
            </w:pPr>
            <w:r>
              <w:rPr>
                <w:b w:val="false"/>
                <w:bCs w:val="false"/>
                <w:sz w:val="20"/>
                <w:szCs w:val="20"/>
              </w:rPr>
              <w:t xml:space="preserve">130</w:t>
            </w:r>
          </w:p>
        </w:tc>
        <w:tc>
          <w:tcPr>
            <w:tcW w:type="dxa" w:w="2900"/>
            <w:tcMar>
              <w:top w:type="dxa" w:w="80"/>
              <w:left w:type="dxa" w:w="120"/>
              <w:bottom w:type="dxa" w:w="80"/>
              <w:right w:type="dxa" w:w="120"/>
            </w:tcMar>
            <w:vAlign w:val="center"/>
          </w:tcPr>
          <w:p>
            <w:pPr>
              <w:jc w:val="center"/>
            </w:pPr>
            <w:r>
              <w:rPr>
                <w:b w:val="false"/>
                <w:bCs w:val="false"/>
                <w:sz w:val="20"/>
                <w:szCs w:val="20"/>
              </w:rPr>
              <w:t xml:space="preserve">245</w:t>
            </w:r>
          </w:p>
        </w:tc>
      </w:tr>
    </w:tbl>
    <w:p>
      <w:pPr>
        <w:spacing w:after="0" w:before="200"/>
      </w:pPr>
    </w:p>
    <w:p>
      <w:pPr>
        <w:spacing w:after="160" w:line="300"/>
      </w:pPr>
      <w:r>
        <w:t xml:space="preserve">La partición es estratificada (85% / 7.5% / 7.5%), preservando la proporción de clases en los tres conjuntos.</w:t>
      </w:r>
    </w:p>
    <w:p>
      <w:pPr>
        <w:pStyle w:val="Heading1"/>
        <w:spacing w:after="200" w:before="400"/>
      </w:pPr>
      <w:r>
        <w:t xml:space="preserve">7. Resultados</w:t>
      </w:r>
    </w:p>
    <w:p>
      <w:pPr>
        <w:pStyle w:val="Heading2"/>
        <w:spacing w:after="150" w:before="300"/>
      </w:pPr>
      <w:r>
        <w:t xml:space="preserve">7.1 Métricas finales sobre el conjunto de test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1F4E78" w:val="clear"/>
            <w:tcMar>
              <w:top w:type="dxa" w:w="80"/>
              <w:left w:type="dxa" w:w="120"/>
              <w:bottom w:type="dxa" w:w="80"/>
              <w:right w:type="dxa" w:w="120"/>
            </w:tcMar>
            <w:vAlign w:val="center"/>
          </w:tcPr>
          <w:p>
            <w:pPr>
              <w:jc w:val="left"/>
            </w:pPr>
            <w:r>
              <w:rPr>
                <w:b/>
                <w:bCs/>
                <w:color w:val="FFFFFF"/>
                <w:sz w:val="20"/>
                <w:szCs w:val="20"/>
              </w:rPr>
              <w:t xml:space="preserve">Métrica</w:t>
            </w:r>
          </w:p>
        </w:tc>
        <w:tc>
          <w:tcPr>
            <w:tcW w:type="dxa" w:w="5000"/>
            <w:shd w:fill="1F4E78" w:val="clear"/>
            <w:tcMar>
              <w:top w:type="dxa" w:w="80"/>
              <w:left w:type="dxa" w:w="120"/>
              <w:bottom w:type="dxa" w:w="80"/>
              <w:right w:type="dxa" w:w="120"/>
            </w:tcMar>
            <w:vAlign w:val="center"/>
          </w:tcPr>
          <w:p>
            <w:pPr>
              <w:jc w:val="left"/>
            </w:pPr>
            <w:r>
              <w:rPr>
                <w:b/>
                <w:bCs/>
                <w:color w:val="FFFFFF"/>
                <w:sz w:val="20"/>
                <w:szCs w:val="20"/>
              </w:rPr>
              <w:t xml:space="preserve">Valor</w:t>
            </w:r>
          </w:p>
        </w:tc>
      </w:tr>
      <w:tr>
        <w:tc>
          <w:tcPr>
            <w:tcW w:type="dxa" w:w="5000"/>
            <w:tcMar>
              <w:top w:type="dxa" w:w="80"/>
              <w:left w:type="dxa" w:w="120"/>
              <w:bottom w:type="dxa" w:w="80"/>
              <w:right w:type="dxa" w:w="120"/>
            </w:tcMar>
            <w:vAlign w:val="center"/>
          </w:tcPr>
          <w:p>
            <w:pPr>
              <w:jc w:val="left"/>
            </w:pPr>
            <w:r>
              <w:rPr>
                <w:b w:val="false"/>
                <w:bCs w:val="false"/>
                <w:sz w:val="20"/>
                <w:szCs w:val="20"/>
              </w:rPr>
              <w:t xml:space="preserve">Accuracy</w:t>
            </w:r>
          </w:p>
        </w:tc>
        <w:tc>
          <w:tcPr>
            <w:tcW w:type="dxa" w:w="5000"/>
            <w:tcMar>
              <w:top w:type="dxa" w:w="80"/>
              <w:left w:type="dxa" w:w="120"/>
              <w:bottom w:type="dxa" w:w="80"/>
              <w:right w:type="dxa" w:w="120"/>
            </w:tcMar>
            <w:vAlign w:val="center"/>
          </w:tcPr>
          <w:p>
            <w:pPr>
              <w:jc w:val="center"/>
            </w:pPr>
            <w:r>
              <w:rPr>
                <w:b w:val="false"/>
                <w:bCs w:val="false"/>
                <w:sz w:val="20"/>
                <w:szCs w:val="20"/>
              </w:rPr>
              <w:t xml:space="preserve">0.776</w:t>
            </w:r>
          </w:p>
        </w:tc>
      </w:tr>
      <w:tr>
        <w:tc>
          <w:tcPr>
            <w:tcW w:type="dxa" w:w="5000"/>
            <w:tcMar>
              <w:top w:type="dxa" w:w="80"/>
              <w:left w:type="dxa" w:w="120"/>
              <w:bottom w:type="dxa" w:w="80"/>
              <w:right w:type="dxa" w:w="120"/>
            </w:tcMar>
            <w:vAlign w:val="center"/>
          </w:tcPr>
          <w:p>
            <w:pPr>
              <w:jc w:val="left"/>
            </w:pPr>
            <w:r>
              <w:rPr>
                <w:b w:val="false"/>
                <w:bCs w:val="false"/>
                <w:sz w:val="20"/>
                <w:szCs w:val="20"/>
              </w:rPr>
              <w:t xml:space="preserve">Precision macro</w:t>
            </w:r>
          </w:p>
        </w:tc>
        <w:tc>
          <w:tcPr>
            <w:tcW w:type="dxa" w:w="5000"/>
            <w:tcMar>
              <w:top w:type="dxa" w:w="80"/>
              <w:left w:type="dxa" w:w="120"/>
              <w:bottom w:type="dxa" w:w="80"/>
              <w:right w:type="dxa" w:w="120"/>
            </w:tcMar>
            <w:vAlign w:val="center"/>
          </w:tcPr>
          <w:p>
            <w:pPr>
              <w:jc w:val="center"/>
            </w:pPr>
            <w:r>
              <w:rPr>
                <w:b w:val="false"/>
                <w:bCs w:val="false"/>
                <w:sz w:val="20"/>
                <w:szCs w:val="20"/>
              </w:rPr>
              <w:t xml:space="preserve">0.753</w:t>
            </w:r>
          </w:p>
        </w:tc>
      </w:tr>
      <w:tr>
        <w:tc>
          <w:tcPr>
            <w:tcW w:type="dxa" w:w="5000"/>
            <w:tcMar>
              <w:top w:type="dxa" w:w="80"/>
              <w:left w:type="dxa" w:w="120"/>
              <w:bottom w:type="dxa" w:w="80"/>
              <w:right w:type="dxa" w:w="120"/>
            </w:tcMar>
            <w:vAlign w:val="center"/>
          </w:tcPr>
          <w:p>
            <w:pPr>
              <w:jc w:val="left"/>
            </w:pPr>
            <w:r>
              <w:rPr>
                <w:b w:val="false"/>
                <w:bCs w:val="false"/>
                <w:sz w:val="20"/>
                <w:szCs w:val="20"/>
              </w:rPr>
              <w:t xml:space="preserve">Recall macro</w:t>
            </w:r>
          </w:p>
        </w:tc>
        <w:tc>
          <w:tcPr>
            <w:tcW w:type="dxa" w:w="5000"/>
            <w:tcMar>
              <w:top w:type="dxa" w:w="80"/>
              <w:left w:type="dxa" w:w="120"/>
              <w:bottom w:type="dxa" w:w="80"/>
              <w:right w:type="dxa" w:w="120"/>
            </w:tcMar>
            <w:vAlign w:val="center"/>
          </w:tcPr>
          <w:p>
            <w:pPr>
              <w:jc w:val="center"/>
            </w:pPr>
            <w:r>
              <w:rPr>
                <w:b w:val="false"/>
                <w:bCs w:val="false"/>
                <w:sz w:val="20"/>
                <w:szCs w:val="20"/>
              </w:rPr>
              <w:t xml:space="preserve">0.762</w:t>
            </w:r>
          </w:p>
        </w:tc>
      </w:tr>
      <w:tr>
        <w:tc>
          <w:tcPr>
            <w:tcW w:type="dxa" w:w="5000"/>
            <w:tcMar>
              <w:top w:type="dxa" w:w="80"/>
              <w:left w:type="dxa" w:w="120"/>
              <w:bottom w:type="dxa" w:w="80"/>
              <w:right w:type="dxa" w:w="120"/>
            </w:tcMar>
            <w:vAlign w:val="center"/>
          </w:tcPr>
          <w:p>
            <w:pPr>
              <w:jc w:val="left"/>
            </w:pPr>
            <w:r>
              <w:rPr>
                <w:b w:val="false"/>
                <w:bCs w:val="false"/>
                <w:sz w:val="20"/>
                <w:szCs w:val="20"/>
              </w:rPr>
              <w:t xml:space="preserve">F1 macro</w:t>
            </w:r>
          </w:p>
        </w:tc>
        <w:tc>
          <w:tcPr>
            <w:tcW w:type="dxa" w:w="5000"/>
            <w:tcMar>
              <w:top w:type="dxa" w:w="80"/>
              <w:left w:type="dxa" w:w="120"/>
              <w:bottom w:type="dxa" w:w="80"/>
              <w:right w:type="dxa" w:w="120"/>
            </w:tcMar>
            <w:vAlign w:val="center"/>
          </w:tcPr>
          <w:p>
            <w:pPr>
              <w:jc w:val="center"/>
            </w:pPr>
            <w:r>
              <w:rPr>
                <w:b w:val="false"/>
                <w:bCs w:val="false"/>
                <w:sz w:val="20"/>
                <w:szCs w:val="20"/>
              </w:rPr>
              <w:t xml:space="preserve">0.757</w:t>
            </w:r>
          </w:p>
        </w:tc>
      </w:tr>
      <w:tr>
        <w:tc>
          <w:tcPr>
            <w:tcW w:type="dxa" w:w="5000"/>
            <w:tcMar>
              <w:top w:type="dxa" w:w="80"/>
              <w:left w:type="dxa" w:w="120"/>
              <w:bottom w:type="dxa" w:w="80"/>
              <w:right w:type="dxa" w:w="120"/>
            </w:tcMar>
            <w:vAlign w:val="center"/>
          </w:tcPr>
          <w:p>
            <w:pPr>
              <w:jc w:val="left"/>
            </w:pPr>
            <w:r>
              <w:rPr>
                <w:b w:val="false"/>
                <w:bCs w:val="false"/>
                <w:sz w:val="20"/>
                <w:szCs w:val="20"/>
              </w:rPr>
              <w:t xml:space="preserve">F1 micro</w:t>
            </w:r>
          </w:p>
        </w:tc>
        <w:tc>
          <w:tcPr>
            <w:tcW w:type="dxa" w:w="5000"/>
            <w:tcMar>
              <w:top w:type="dxa" w:w="80"/>
              <w:left w:type="dxa" w:w="120"/>
              <w:bottom w:type="dxa" w:w="80"/>
              <w:right w:type="dxa" w:w="120"/>
            </w:tcMar>
            <w:vAlign w:val="center"/>
          </w:tcPr>
          <w:p>
            <w:pPr>
              <w:jc w:val="center"/>
            </w:pPr>
            <w:r>
              <w:rPr>
                <w:b w:val="false"/>
                <w:bCs w:val="false"/>
                <w:sz w:val="20"/>
                <w:szCs w:val="20"/>
              </w:rPr>
              <w:t xml:space="preserve">0.776</w:t>
            </w:r>
          </w:p>
        </w:tc>
      </w:tr>
    </w:tbl>
    <w:p>
      <w:pPr>
        <w:spacing w:after="100" w:before="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900"/>
      </w:tblGrid>
      <w:tr>
        <w:trPr>
          <w:tblHeader/>
        </w:trPr>
        <w:tc>
          <w:tcPr>
            <w:tcW w:type="dxa" w:w="2400"/>
            <w:shd w:fill="1F4E78" w:val="clear"/>
            <w:tcMar>
              <w:top w:type="dxa" w:w="80"/>
              <w:left w:type="dxa" w:w="120"/>
              <w:bottom w:type="dxa" w:w="80"/>
              <w:right w:type="dxa" w:w="120"/>
            </w:tcMar>
            <w:vAlign w:val="center"/>
          </w:tcPr>
          <w:p>
            <w:pPr>
              <w:jc w:val="left"/>
            </w:pPr>
            <w:r>
              <w:rPr>
                <w:b/>
                <w:bCs/>
                <w:color w:val="FFFFFF"/>
                <w:sz w:val="20"/>
                <w:szCs w:val="20"/>
              </w:rPr>
              <w:t xml:space="preserve">Clase</w:t>
            </w:r>
          </w:p>
        </w:tc>
        <w:tc>
          <w:tcPr>
            <w:tcW w:type="dxa" w:w="1900"/>
            <w:shd w:fill="1F4E78" w:val="clear"/>
            <w:tcMar>
              <w:top w:type="dxa" w:w="80"/>
              <w:left w:type="dxa" w:w="120"/>
              <w:bottom w:type="dxa" w:w="80"/>
              <w:right w:type="dxa" w:w="120"/>
            </w:tcMar>
            <w:vAlign w:val="center"/>
          </w:tcPr>
          <w:p>
            <w:pPr>
              <w:jc w:val="left"/>
            </w:pPr>
            <w:r>
              <w:rPr>
                <w:b/>
                <w:bCs/>
                <w:color w:val="FFFFFF"/>
                <w:sz w:val="20"/>
                <w:szCs w:val="20"/>
              </w:rPr>
              <w:t xml:space="preserve">Precision</w:t>
            </w:r>
          </w:p>
        </w:tc>
        <w:tc>
          <w:tcPr>
            <w:tcW w:type="dxa" w:w="1900"/>
            <w:shd w:fill="1F4E78" w:val="clear"/>
            <w:tcMar>
              <w:top w:type="dxa" w:w="80"/>
              <w:left w:type="dxa" w:w="120"/>
              <w:bottom w:type="dxa" w:w="80"/>
              <w:right w:type="dxa" w:w="120"/>
            </w:tcMar>
            <w:vAlign w:val="center"/>
          </w:tcPr>
          <w:p>
            <w:pPr>
              <w:jc w:val="left"/>
            </w:pPr>
            <w:r>
              <w:rPr>
                <w:b/>
                <w:bCs/>
                <w:color w:val="FFFFFF"/>
                <w:sz w:val="20"/>
                <w:szCs w:val="20"/>
              </w:rPr>
              <w:t xml:space="preserve">Recall</w:t>
            </w:r>
          </w:p>
        </w:tc>
        <w:tc>
          <w:tcPr>
            <w:tcW w:type="dxa" w:w="1900"/>
            <w:shd w:fill="1F4E78" w:val="clear"/>
            <w:tcMar>
              <w:top w:type="dxa" w:w="80"/>
              <w:left w:type="dxa" w:w="120"/>
              <w:bottom w:type="dxa" w:w="80"/>
              <w:right w:type="dxa" w:w="120"/>
            </w:tcMar>
            <w:vAlign w:val="center"/>
          </w:tcPr>
          <w:p>
            <w:pPr>
              <w:jc w:val="left"/>
            </w:pPr>
            <w:r>
              <w:rPr>
                <w:b/>
                <w:bCs/>
                <w:color w:val="FFFFFF"/>
                <w:sz w:val="20"/>
                <w:szCs w:val="20"/>
              </w:rPr>
              <w:t xml:space="preserve">F1-score</w:t>
            </w:r>
          </w:p>
        </w:tc>
        <w:tc>
          <w:tcPr>
            <w:tcW w:type="dxa" w:w="1900"/>
            <w:shd w:fill="1F4E78" w:val="clear"/>
            <w:tcMar>
              <w:top w:type="dxa" w:w="80"/>
              <w:left w:type="dxa" w:w="120"/>
              <w:bottom w:type="dxa" w:w="80"/>
              <w:right w:type="dxa" w:w="120"/>
            </w:tcMar>
            <w:vAlign w:val="center"/>
          </w:tcPr>
          <w:p>
            <w:pPr>
              <w:jc w:val="left"/>
            </w:pPr>
            <w:r>
              <w:rPr>
                <w:b/>
                <w:bCs/>
                <w:color w:val="FFFFFF"/>
                <w:sz w:val="20"/>
                <w:szCs w:val="20"/>
              </w:rPr>
              <w:t xml:space="preserve">Support</w:t>
            </w:r>
          </w:p>
        </w:tc>
      </w:tr>
      <w:tr>
        <w:tc>
          <w:tcPr>
            <w:tcW w:type="dxa" w:w="2400"/>
            <w:tcMar>
              <w:top w:type="dxa" w:w="80"/>
              <w:left w:type="dxa" w:w="120"/>
              <w:bottom w:type="dxa" w:w="80"/>
              <w:right w:type="dxa" w:w="120"/>
            </w:tcMar>
            <w:vAlign w:val="center"/>
          </w:tcPr>
          <w:p>
            <w:pPr>
              <w:jc w:val="left"/>
            </w:pPr>
            <w:r>
              <w:rPr>
                <w:b w:val="false"/>
                <w:bCs w:val="false"/>
                <w:sz w:val="20"/>
                <w:szCs w:val="20"/>
              </w:rPr>
              <w:t xml:space="preserve">negative</w:t>
            </w:r>
          </w:p>
        </w:tc>
        <w:tc>
          <w:tcPr>
            <w:tcW w:type="dxa" w:w="1900"/>
            <w:tcMar>
              <w:top w:type="dxa" w:w="80"/>
              <w:left w:type="dxa" w:w="120"/>
              <w:bottom w:type="dxa" w:w="80"/>
              <w:right w:type="dxa" w:w="120"/>
            </w:tcMar>
            <w:vAlign w:val="center"/>
          </w:tcPr>
          <w:p>
            <w:pPr>
              <w:jc w:val="center"/>
            </w:pPr>
            <w:r>
              <w:rPr>
                <w:b w:val="false"/>
                <w:bCs w:val="false"/>
                <w:sz w:val="20"/>
                <w:szCs w:val="20"/>
              </w:rPr>
              <w:t xml:space="preserve">0.66</w:t>
            </w:r>
          </w:p>
        </w:tc>
        <w:tc>
          <w:tcPr>
            <w:tcW w:type="dxa" w:w="1900"/>
            <w:tcMar>
              <w:top w:type="dxa" w:w="80"/>
              <w:left w:type="dxa" w:w="120"/>
              <w:bottom w:type="dxa" w:w="80"/>
              <w:right w:type="dxa" w:w="120"/>
            </w:tcMar>
            <w:vAlign w:val="center"/>
          </w:tcPr>
          <w:p>
            <w:pPr>
              <w:jc w:val="center"/>
            </w:pPr>
            <w:r>
              <w:rPr>
                <w:b w:val="false"/>
                <w:bCs w:val="false"/>
                <w:sz w:val="20"/>
                <w:szCs w:val="20"/>
              </w:rPr>
              <w:t xml:space="preserve">0.72</w:t>
            </w:r>
          </w:p>
        </w:tc>
        <w:tc>
          <w:tcPr>
            <w:tcW w:type="dxa" w:w="1900"/>
            <w:tcMar>
              <w:top w:type="dxa" w:w="80"/>
              <w:left w:type="dxa" w:w="120"/>
              <w:bottom w:type="dxa" w:w="80"/>
              <w:right w:type="dxa" w:w="120"/>
            </w:tcMar>
            <w:vAlign w:val="center"/>
          </w:tcPr>
          <w:p>
            <w:pPr>
              <w:jc w:val="center"/>
            </w:pPr>
            <w:r>
              <w:rPr>
                <w:b w:val="false"/>
                <w:bCs w:val="false"/>
                <w:sz w:val="20"/>
                <w:szCs w:val="20"/>
              </w:rPr>
              <w:t xml:space="preserve">0.69</w:t>
            </w:r>
          </w:p>
        </w:tc>
        <w:tc>
          <w:tcPr>
            <w:tcW w:type="dxa" w:w="1900"/>
            <w:tcMar>
              <w:top w:type="dxa" w:w="80"/>
              <w:left w:type="dxa" w:w="120"/>
              <w:bottom w:type="dxa" w:w="80"/>
              <w:right w:type="dxa" w:w="120"/>
            </w:tcMar>
            <w:vAlign w:val="center"/>
          </w:tcPr>
          <w:p>
            <w:pPr>
              <w:jc w:val="center"/>
            </w:pPr>
            <w:r>
              <w:rPr>
                <w:b w:val="false"/>
                <w:bCs w:val="false"/>
                <w:sz w:val="20"/>
                <w:szCs w:val="20"/>
              </w:rPr>
              <w:t xml:space="preserve">130</w:t>
            </w:r>
          </w:p>
        </w:tc>
      </w:tr>
      <w:tr>
        <w:tc>
          <w:tcPr>
            <w:tcW w:type="dxa" w:w="2400"/>
            <w:tcMar>
              <w:top w:type="dxa" w:w="80"/>
              <w:left w:type="dxa" w:w="120"/>
              <w:bottom w:type="dxa" w:w="80"/>
              <w:right w:type="dxa" w:w="120"/>
            </w:tcMar>
            <w:vAlign w:val="center"/>
          </w:tcPr>
          <w:p>
            <w:pPr>
              <w:jc w:val="left"/>
            </w:pPr>
            <w:r>
              <w:rPr>
                <w:b w:val="false"/>
                <w:bCs w:val="false"/>
                <w:sz w:val="20"/>
                <w:szCs w:val="20"/>
              </w:rPr>
              <w:t xml:space="preserve">positive</w:t>
            </w:r>
          </w:p>
        </w:tc>
        <w:tc>
          <w:tcPr>
            <w:tcW w:type="dxa" w:w="1900"/>
            <w:tcMar>
              <w:top w:type="dxa" w:w="80"/>
              <w:left w:type="dxa" w:w="120"/>
              <w:bottom w:type="dxa" w:w="80"/>
              <w:right w:type="dxa" w:w="120"/>
            </w:tcMar>
            <w:vAlign w:val="center"/>
          </w:tcPr>
          <w:p>
            <w:pPr>
              <w:jc w:val="center"/>
            </w:pPr>
            <w:r>
              <w:rPr>
                <w:b w:val="false"/>
                <w:bCs w:val="false"/>
                <w:sz w:val="20"/>
                <w:szCs w:val="20"/>
              </w:rPr>
              <w:t xml:space="preserve">0.84</w:t>
            </w:r>
          </w:p>
        </w:tc>
        <w:tc>
          <w:tcPr>
            <w:tcW w:type="dxa" w:w="1900"/>
            <w:tcMar>
              <w:top w:type="dxa" w:w="80"/>
              <w:left w:type="dxa" w:w="120"/>
              <w:bottom w:type="dxa" w:w="80"/>
              <w:right w:type="dxa" w:w="120"/>
            </w:tcMar>
            <w:vAlign w:val="center"/>
          </w:tcPr>
          <w:p>
            <w:pPr>
              <w:jc w:val="center"/>
            </w:pPr>
            <w:r>
              <w:rPr>
                <w:b w:val="false"/>
                <w:bCs w:val="false"/>
                <w:sz w:val="20"/>
                <w:szCs w:val="20"/>
              </w:rPr>
              <w:t xml:space="preserve">0.81</w:t>
            </w:r>
          </w:p>
        </w:tc>
        <w:tc>
          <w:tcPr>
            <w:tcW w:type="dxa" w:w="1900"/>
            <w:tcMar>
              <w:top w:type="dxa" w:w="80"/>
              <w:left w:type="dxa" w:w="120"/>
              <w:bottom w:type="dxa" w:w="80"/>
              <w:right w:type="dxa" w:w="120"/>
            </w:tcMar>
            <w:vAlign w:val="center"/>
          </w:tcPr>
          <w:p>
            <w:pPr>
              <w:jc w:val="center"/>
            </w:pPr>
            <w:r>
              <w:rPr>
                <w:b w:val="false"/>
                <w:bCs w:val="false"/>
                <w:sz w:val="20"/>
                <w:szCs w:val="20"/>
              </w:rPr>
              <w:t xml:space="preserve">0.82</w:t>
            </w:r>
          </w:p>
        </w:tc>
        <w:tc>
          <w:tcPr>
            <w:tcW w:type="dxa" w:w="1900"/>
            <w:tcMar>
              <w:top w:type="dxa" w:w="80"/>
              <w:left w:type="dxa" w:w="120"/>
              <w:bottom w:type="dxa" w:w="80"/>
              <w:right w:type="dxa" w:w="120"/>
            </w:tcMar>
            <w:vAlign w:val="center"/>
          </w:tcPr>
          <w:p>
            <w:pPr>
              <w:jc w:val="center"/>
            </w:pPr>
            <w:r>
              <w:rPr>
                <w:b w:val="false"/>
                <w:bCs w:val="false"/>
                <w:sz w:val="20"/>
                <w:szCs w:val="20"/>
              </w:rPr>
              <w:t xml:space="preserve">245</w:t>
            </w:r>
          </w:p>
        </w:tc>
      </w:tr>
    </w:tbl>
    <w:p>
      <w:pPr>
        <w:spacing w:after="0" w:before="200"/>
      </w:pPr>
    </w:p>
    <w:p>
      <w:pPr>
        <w:pStyle w:val="Heading2"/>
        <w:spacing w:after="150" w:before="300"/>
      </w:pPr>
      <w:r>
        <w:t xml:space="preserve">7.2 Matriz de confusión e interpretación</w:t>
      </w:r>
    </w:p>
    <w:p>
      <w:pPr>
        <w:spacing w:after="160" w:line="300"/>
      </w:pPr>
      <w:r>
        <w:t xml:space="preserve">Sobre el conjunto de test (375 casos): de 130 comentarios negativos reales, 93 se clasifican correctamente (71.5%) y 37 se confunden como positivos. De 245 comentarios positivos/neutros reales, 198 se clasifican correctamente (80.8%) y 47 se confunden como negativos.</w:t>
      </w:r>
    </w:p>
    <w:p>
      <w:pPr>
        <w:spacing w:after="160" w:line="300"/>
      </w:pPr>
      <w:r>
        <w:t xml:space="preserve">El modelo identifica mejor la clase positiva (F1 = 0.82) que la negativa (F1 = 0.69). Esto se explica en parte por el desbalance del test (245 vs 130 casos) y, cualitativamente, porque los comentarios negativos del dominio (deportes/combate) suelen depender de sarcasmo, jerga o contexto que un lexicón basado en reglas como VADER —usado para generar las etiquetas— capta con menor precisión.</w:t>
      </w:r>
    </w:p>
    <w:p>
      <w:pPr>
        <w:pStyle w:val="Heading2"/>
        <w:spacing w:after="150" w:before="300"/>
      </w:pPr>
      <w:r>
        <w:t xml:space="preserve">7.3 Calibración y análisis de errores</w:t>
      </w:r>
    </w:p>
    <w:p>
      <w:pPr>
        <w:spacing w:after="160" w:line="300"/>
      </w:pPr>
      <w:r>
        <w:t xml:space="preserve">El análisis de calibración (artifacts/calibration_plot.png, calibration_scores.csv) muestra que el modelo está razonablemente bien calibrado en los tramos de alta confianza (por ejemplo, ~82–92% de aciertos reales cuando predice con confianza superior a 0.85), pero tiende a mostrar exceso de confianza en los tramos bajos (confianza ~0.03–0.14, con precisión real de solo 15–30%).</w:t>
      </w:r>
    </w:p>
    <w:p>
      <w:pPr>
        <w:spacing w:after="160" w:line="300"/>
      </w:pPr>
      <w:r>
        <w:t xml:space="preserve">Se revisaron manualmente 20 errores de clasificación y se categorizaron heurísticamente (artifacts/misclassified_categorized.csv, analysis_summary.txt):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600"/>
        <w:gridCol w:w="3400"/>
      </w:tblGrid>
      <w:tr>
        <w:trPr>
          <w:tblHeader/>
        </w:trPr>
        <w:tc>
          <w:tcPr>
            <w:tcW w:type="dxa" w:w="6600"/>
            <w:shd w:fill="1F4E78" w:val="clear"/>
            <w:tcMar>
              <w:top w:type="dxa" w:w="80"/>
              <w:left w:type="dxa" w:w="120"/>
              <w:bottom w:type="dxa" w:w="80"/>
              <w:right w:type="dxa" w:w="120"/>
            </w:tcMar>
            <w:vAlign w:val="center"/>
          </w:tcPr>
          <w:p>
            <w:pPr>
              <w:jc w:val="left"/>
            </w:pPr>
            <w:r>
              <w:rPr>
                <w:b/>
                <w:bCs/>
                <w:color w:val="FFFFFF"/>
                <w:sz w:val="20"/>
                <w:szCs w:val="20"/>
              </w:rPr>
              <w:t xml:space="preserve">Categoría de error</w:t>
            </w:r>
          </w:p>
        </w:tc>
        <w:tc>
          <w:tcPr>
            <w:tcW w:type="dxa" w:w="3400"/>
            <w:shd w:fill="1F4E78" w:val="clear"/>
            <w:tcMar>
              <w:top w:type="dxa" w:w="80"/>
              <w:left w:type="dxa" w:w="120"/>
              <w:bottom w:type="dxa" w:w="80"/>
              <w:right w:type="dxa" w:w="120"/>
            </w:tcMar>
            <w:vAlign w:val="center"/>
          </w:tcPr>
          <w:p>
            <w:pPr>
              <w:jc w:val="left"/>
            </w:pPr>
            <w:r>
              <w:rPr>
                <w:b/>
                <w:bCs/>
                <w:color w:val="FFFFFF"/>
                <w:sz w:val="20"/>
                <w:szCs w:val="20"/>
              </w:rPr>
              <w:t xml:space="preserve">Casos</w:t>
            </w:r>
          </w:p>
        </w:tc>
      </w:tr>
      <w:tr>
        <w:tc>
          <w:tcPr>
            <w:tcW w:type="dxa" w:w="6600"/>
            <w:tcMar>
              <w:top w:type="dxa" w:w="80"/>
              <w:left w:type="dxa" w:w="120"/>
              <w:bottom w:type="dxa" w:w="80"/>
              <w:right w:type="dxa" w:w="120"/>
            </w:tcMar>
            <w:vAlign w:val="center"/>
          </w:tcPr>
          <w:p>
            <w:pPr>
              <w:jc w:val="left"/>
            </w:pPr>
            <w:r>
              <w:rPr>
                <w:b w:val="false"/>
                <w:bCs w:val="false"/>
                <w:sz w:val="20"/>
                <w:szCs w:val="20"/>
              </w:rPr>
              <w:t xml:space="preserve">Otros / sin patrón claro</w:t>
            </w:r>
          </w:p>
        </w:tc>
        <w:tc>
          <w:tcPr>
            <w:tcW w:type="dxa" w:w="3400"/>
            <w:tcMar>
              <w:top w:type="dxa" w:w="80"/>
              <w:left w:type="dxa" w:w="120"/>
              <w:bottom w:type="dxa" w:w="80"/>
              <w:right w:type="dxa" w:w="120"/>
            </w:tcMar>
            <w:vAlign w:val="center"/>
          </w:tcPr>
          <w:p>
            <w:pPr>
              <w:jc w:val="center"/>
            </w:pPr>
            <w:r>
              <w:rPr>
                <w:b w:val="false"/>
                <w:bCs w:val="false"/>
                <w:sz w:val="20"/>
                <w:szCs w:val="20"/>
              </w:rPr>
              <w:t xml:space="preserve">11</w:t>
            </w:r>
          </w:p>
        </w:tc>
      </w:tr>
      <w:tr>
        <w:tc>
          <w:tcPr>
            <w:tcW w:type="dxa" w:w="6600"/>
            <w:tcMar>
              <w:top w:type="dxa" w:w="80"/>
              <w:left w:type="dxa" w:w="120"/>
              <w:bottom w:type="dxa" w:w="80"/>
              <w:right w:type="dxa" w:w="120"/>
            </w:tcMar>
            <w:vAlign w:val="center"/>
          </w:tcPr>
          <w:p>
            <w:pPr>
              <w:jc w:val="left"/>
            </w:pPr>
            <w:r>
              <w:rPr>
                <w:b w:val="false"/>
                <w:bCs w:val="false"/>
                <w:sz w:val="20"/>
                <w:szCs w:val="20"/>
              </w:rPr>
              <w:t xml:space="preserve">Ambigüedad (texto corto, poco contexto)</w:t>
            </w:r>
          </w:p>
        </w:tc>
        <w:tc>
          <w:tcPr>
            <w:tcW w:type="dxa" w:w="3400"/>
            <w:tcMar>
              <w:top w:type="dxa" w:w="80"/>
              <w:left w:type="dxa" w:w="120"/>
              <w:bottom w:type="dxa" w:w="80"/>
              <w:right w:type="dxa" w:w="120"/>
            </w:tcMar>
            <w:vAlign w:val="center"/>
          </w:tcPr>
          <w:p>
            <w:pPr>
              <w:jc w:val="center"/>
            </w:pPr>
            <w:r>
              <w:rPr>
                <w:b w:val="false"/>
                <w:bCs w:val="false"/>
                <w:sz w:val="20"/>
                <w:szCs w:val="20"/>
              </w:rPr>
              <w:t xml:space="preserve">4</w:t>
            </w:r>
          </w:p>
        </w:tc>
      </w:tr>
      <w:tr>
        <w:tc>
          <w:tcPr>
            <w:tcW w:type="dxa" w:w="6600"/>
            <w:tcMar>
              <w:top w:type="dxa" w:w="80"/>
              <w:left w:type="dxa" w:w="120"/>
              <w:bottom w:type="dxa" w:w="80"/>
              <w:right w:type="dxa" w:w="120"/>
            </w:tcMar>
            <w:vAlign w:val="center"/>
          </w:tcPr>
          <w:p>
            <w:pPr>
              <w:jc w:val="left"/>
            </w:pPr>
            <w:r>
              <w:rPr>
                <w:b w:val="false"/>
                <w:bCs w:val="false"/>
                <w:sz w:val="20"/>
                <w:szCs w:val="20"/>
              </w:rPr>
              <w:t xml:space="preserve">Sarcasmo</w:t>
            </w:r>
          </w:p>
        </w:tc>
        <w:tc>
          <w:tcPr>
            <w:tcW w:type="dxa" w:w="3400"/>
            <w:tcMar>
              <w:top w:type="dxa" w:w="80"/>
              <w:left w:type="dxa" w:w="120"/>
              <w:bottom w:type="dxa" w:w="80"/>
              <w:right w:type="dxa" w:w="120"/>
            </w:tcMar>
            <w:vAlign w:val="center"/>
          </w:tcPr>
          <w:p>
            <w:pPr>
              <w:jc w:val="center"/>
            </w:pPr>
            <w:r>
              <w:rPr>
                <w:b w:val="false"/>
                <w:bCs w:val="false"/>
                <w:sz w:val="20"/>
                <w:szCs w:val="20"/>
              </w:rPr>
              <w:t xml:space="preserve">3</w:t>
            </w:r>
          </w:p>
        </w:tc>
      </w:tr>
      <w:tr>
        <w:tc>
          <w:tcPr>
            <w:tcW w:type="dxa" w:w="6600"/>
            <w:tcMar>
              <w:top w:type="dxa" w:w="80"/>
              <w:left w:type="dxa" w:w="120"/>
              <w:bottom w:type="dxa" w:w="80"/>
              <w:right w:type="dxa" w:w="120"/>
            </w:tcMar>
            <w:vAlign w:val="center"/>
          </w:tcPr>
          <w:p>
            <w:pPr>
              <w:jc w:val="left"/>
            </w:pPr>
            <w:r>
              <w:rPr>
                <w:b w:val="false"/>
                <w:bCs w:val="false"/>
                <w:sz w:val="20"/>
                <w:szCs w:val="20"/>
              </w:rPr>
              <w:t xml:space="preserve">Conflicto de polaridad de emoji</w:t>
            </w:r>
          </w:p>
        </w:tc>
        <w:tc>
          <w:tcPr>
            <w:tcW w:type="dxa" w:w="3400"/>
            <w:tcMar>
              <w:top w:type="dxa" w:w="80"/>
              <w:left w:type="dxa" w:w="120"/>
              <w:bottom w:type="dxa" w:w="80"/>
              <w:right w:type="dxa" w:w="120"/>
            </w:tcMar>
            <w:vAlign w:val="center"/>
          </w:tcPr>
          <w:p>
            <w:pPr>
              <w:jc w:val="center"/>
            </w:pPr>
            <w:r>
              <w:rPr>
                <w:b w:val="false"/>
                <w:bCs w:val="false"/>
                <w:sz w:val="20"/>
                <w:szCs w:val="20"/>
              </w:rPr>
              <w:t xml:space="preserve">2</w:t>
            </w:r>
          </w:p>
        </w:tc>
      </w:tr>
    </w:tbl>
    <w:p>
      <w:pPr>
        <w:spacing w:after="0" w:before="200"/>
      </w:pPr>
    </w:p>
    <w:p>
      <w:pPr>
        <w:pStyle w:val="Heading2"/>
        <w:spacing w:after="150" w:before="300"/>
      </w:pPr>
      <w:r>
        <w:t xml:space="preserve">7.4 Nota metodológica importante</w:t>
      </w:r>
    </w:p>
    <w:p>
      <w:pPr>
        <w:spacing w:after="160" w:line="300"/>
      </w:pPr>
      <w:r>
        <w:t xml:space="preserve">Dos decisiones de diseño, documentadas en el código (artifacts/vectorization_summary.txt) pero no explicitadas en el README del repositorio, deben mencionarse para interpretar correctamente los resultados:</w:t>
      </w:r>
    </w:p>
    <w:p>
      <w:pPr>
        <w:pStyle w:val="ListParagraph"/>
        <w:numPr>
          <w:ilvl w:val="0"/>
          <w:numId w:val="1"/>
        </w:numPr>
        <w:spacing w:after="100" w:line="300"/>
      </w:pPr>
      <w:r>
        <w:t xml:space="preserve">Las etiquetas de sentimiento no provienen de anotación humana ni del dataset original: se generan automáticamente con NLTK VADER, un lexicón basado en reglas. El accuracy de 0.776 mide, en rigor, qué tan bien el modelo aprende a reproducir las etiquetas de VADER, no un consenso humano de sentimiento.</w:t>
      </w:r>
    </w:p>
    <w:p>
      <w:pPr>
        <w:pStyle w:val="ListParagraph"/>
        <w:numPr>
          <w:ilvl w:val="0"/>
          <w:numId w:val="1"/>
        </w:numPr>
        <w:spacing w:after="100" w:line="300"/>
      </w:pPr>
      <w:r>
        <w:t xml:space="preserve">El modelo final es binario, no de tres clases: la clase "neutral" (1.530 casos) se agrupa junto con "positive" para simplificar el problema a negative (0) vs. positive/neutral (1). Esta decisión está documentada en el código, pero conviene declararla explícitamente al reportar resultados, ya que reduce la dificultad real de la tarea de sentimiento de 3 clases a una tarea binaria con una clase mayoritaria del 65.4%.</w:t>
      </w:r>
    </w:p>
    <w:p>
      <w:pPr>
        <w:pStyle w:val="Heading2"/>
        <w:spacing w:after="150" w:before="300"/>
      </w:pPr>
      <w:r>
        <w:t xml:space="preserve">7.5 Reflexión sobre posibles mejoras</w:t>
      </w:r>
    </w:p>
    <w:p>
      <w:pPr>
        <w:pStyle w:val="ListParagraph"/>
        <w:numPr>
          <w:ilvl w:val="0"/>
          <w:numId w:val="1"/>
        </w:numPr>
        <w:spacing w:after="100" w:line="300"/>
      </w:pPr>
      <w:r>
        <w:t xml:space="preserve">Reemplazar o complementar las etiquetas de VADER con un conjunto anotado manualmente (gold set) de al menos ~1.000 ejemplos, ya que VADER puede introducir ruido sistemático en jerga específica del dominio (UFC, apodos de peleadores) y en sarcasmo, tal como se ve en la categorización de errores.</w:t>
      </w:r>
    </w:p>
    <w:p>
      <w:pPr>
        <w:pStyle w:val="ListParagraph"/>
        <w:numPr>
          <w:ilvl w:val="0"/>
          <w:numId w:val="1"/>
        </w:numPr>
        <w:spacing w:after="100" w:line="300"/>
      </w:pPr>
      <w:r>
        <w:t xml:space="preserve">Entrenar y reportar también la versión de 3 clases (positive / neutral / negative) para verificar si la simplificación binaria está inflando artificialmente las métricas.</w:t>
      </w:r>
    </w:p>
    <w:p>
      <w:pPr>
        <w:pStyle w:val="ListParagraph"/>
        <w:numPr>
          <w:ilvl w:val="0"/>
          <w:numId w:val="1"/>
        </w:numPr>
        <w:spacing w:after="100" w:line="300"/>
      </w:pPr>
      <w:r>
        <w:t xml:space="preserve">Probar reducción de dimensionalidad (TruncatedSVD) o representaciones contextuales (por ejemplo, DistilBERT) para capturar relaciones semánticas que TF-IDF, al basarse en n-gramas superficiales, no puede modelar.</w:t>
      </w:r>
    </w:p>
    <w:p>
      <w:pPr>
        <w:pStyle w:val="ListParagraph"/>
        <w:numPr>
          <w:ilvl w:val="0"/>
          <w:numId w:val="1"/>
        </w:numPr>
        <w:spacing w:after="100" w:line="300"/>
      </w:pPr>
      <w:r>
        <w:t xml:space="preserve">Reforzar el manejo de sarcasmo y emojis con reglas o features dedicadas, dado que concentran una porción no trivial de los errores de clasificación.</w:t>
      </w:r>
    </w:p>
    <w:p>
      <w:pPr>
        <w:pStyle w:val="ListParagraph"/>
        <w:numPr>
          <w:ilvl w:val="0"/>
          <w:numId w:val="1"/>
        </w:numPr>
        <w:spacing w:after="100" w:line="300"/>
      </w:pPr>
      <w:r>
        <w:t xml:space="preserve">Definir un umbral de confianza para producción (por ejemplo, no predecir automáticamente por debajo de 0.6 de confianza), dado el patrón de sobreconfianza observado en el tramo bajo de la curva de calibración.</w:t>
      </w:r>
    </w:p>
    <w:p>
      <w:pPr>
        <w:pStyle w:val="Heading1"/>
        <w:spacing w:after="200" w:before="400"/>
      </w:pPr>
      <w:r>
        <w:t xml:space="preserve">8. Conclusión general</w:t>
      </w:r>
    </w:p>
    <w:p>
      <w:pPr>
        <w:spacing w:after="160" w:line="300"/>
      </w:pPr>
      <w:r>
        <w:t xml:space="preserve">El proyecto cumple, a nivel de código y no solo de README, con los siete criterios evaluados:</w:t>
      </w:r>
    </w:p>
    <w:p>
      <w:pPr>
        <w:pStyle w:val="ListParagraph"/>
        <w:numPr>
          <w:ilvl w:val="0"/>
          <w:numId w:val="1"/>
        </w:numPr>
        <w:spacing w:after="100" w:line="300"/>
      </w:pPr>
      <w:r>
        <w:t xml:space="preserve">Dataset: volumen ampliamente superior al mínimo exigido (5.000 sobre 231.051 registros disponibles), con una justificación de elección razonable (lenguaje espontáneo, dominio acotado, datos públicos).</w:t>
      </w:r>
    </w:p>
    <w:p>
      <w:pPr>
        <w:pStyle w:val="ListParagraph"/>
        <w:numPr>
          <w:ilvl w:val="0"/>
          <w:numId w:val="1"/>
        </w:numPr>
        <w:spacing w:after="100" w:line="300"/>
      </w:pPr>
      <w:r>
        <w:t xml:space="preserve">EDA: distribución de longitud, ruido textual y frecuencias de palabras/bigramas, con visualizaciones; la distribución de clases se cubre en la etapa de etiquetado.</w:t>
      </w:r>
    </w:p>
    <w:p>
      <w:pPr>
        <w:pStyle w:val="ListParagraph"/>
        <w:numPr>
          <w:ilvl w:val="0"/>
          <w:numId w:val="1"/>
        </w:numPr>
        <w:spacing w:after="100" w:line="300"/>
      </w:pPr>
      <w:r>
        <w:t xml:space="preserve">Preprocesamiento: uso correcto y documentado de Regex, tokenización, y comparación cuantitativa NLTK vs. spaCy con métricas de tiempo y porcentaje de cambio.</w:t>
      </w:r>
    </w:p>
    <w:p>
      <w:pPr>
        <w:pStyle w:val="ListParagraph"/>
        <w:numPr>
          <w:ilvl w:val="0"/>
          <w:numId w:val="1"/>
        </w:numPr>
        <w:spacing w:after="100" w:line="300"/>
      </w:pPr>
      <w:r>
        <w:t xml:space="preserve">Representación numérica: TfidfVectorizer aplicado correctamente, con una reflexión fundamentada —y verificable en los datos— sobre por qué TF-IDF supera a un conteo simple para este problema.</w:t>
      </w:r>
    </w:p>
    <w:p>
      <w:pPr>
        <w:pStyle w:val="ListParagraph"/>
        <w:numPr>
          <w:ilvl w:val="0"/>
          <w:numId w:val="1"/>
        </w:numPr>
        <w:spacing w:after="100" w:line="300"/>
      </w:pPr>
      <w:r>
        <w:t xml:space="preserve">Modelado DL: TextClassifier(nn.Module) implementado exactamente según lo requerido (dos capas densas, BatchNorm, Dropout p = 0.5).</w:t>
      </w:r>
    </w:p>
    <w:p>
      <w:pPr>
        <w:pStyle w:val="ListParagraph"/>
        <w:numPr>
          <w:ilvl w:val="0"/>
          <w:numId w:val="1"/>
        </w:numPr>
        <w:spacing w:after="100" w:line="300"/>
      </w:pPr>
      <w:r>
        <w:t xml:space="preserve">Entrenamiento: Adam, CrossEntropyLoss y Early Stopping con patience = 5, verificado en el código y en los logs de entrenamiento.</w:t>
      </w:r>
    </w:p>
    <w:p>
      <w:pPr>
        <w:pStyle w:val="ListParagraph"/>
        <w:numPr>
          <w:ilvl w:val="0"/>
          <w:numId w:val="1"/>
        </w:numPr>
        <w:spacing w:after="100" w:line="300"/>
      </w:pPr>
      <w:r>
        <w:t xml:space="preserve">Resultados: métricas, matriz de confusión, calibración y análisis cualitativo de errores, junto con una reflexión concreta sobre mejoras futuras.</w:t>
      </w:r>
    </w:p>
    <w:p>
      <w:pPr>
        <w:spacing w:after="160" w:line="300"/>
      </w:pPr>
      <w:r>
        <w:rPr>
          <w:b/>
          <w:bCs/>
        </w:rPr>
        <w:t xml:space="preserve">El punto a mejorar antes de considerar la entrega "cerrada" no es técnico sino de transparencia documental: el README debería explicitar que las etiquetas provienen de VADER (no de anotación humana) y que la tarea final resuelta es binaria (negative vs. positive/neutral), ya que ambas decisiones —aunque razonables y están documentadas en el código— condicionan cómo debe interpretarse el accuracy reportado.</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200" w:before="400"/>
    </w:pPr>
    <w:rPr>
      <w:rFonts w:ascii="Calibri" w:cs="Calibri" w:eastAsia="Calibri" w:hAnsi="Calibri"/>
      <w:b/>
      <w:bCs/>
      <w:color w:val="1F4E78"/>
      <w:sz w:val="30"/>
      <w:szCs w:val="30"/>
    </w:rPr>
  </w:style>
  <w:style w:type="paragraph" w:styleId="Heading2">
    <w:name w:val="Heading 2"/>
    <w:basedOn w:val="Normal"/>
    <w:next w:val="Normal"/>
    <w:qFormat/>
    <w:pPr>
      <w:spacing w:after="140" w:before="280"/>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2026-07-08T01:41:35.628Z</dcterms:created>
  <dcterms:modified xsi:type="dcterms:W3CDTF">2026-07-08T01:41:35.629Z</dcterms:modified>
</cp:coreProperties>
</file>

<file path=docProps/custom.xml><?xml version="1.0" encoding="utf-8"?>
<Properties xmlns="http://schemas.openxmlformats.org/officeDocument/2006/custom-properties" xmlns:vt="http://schemas.openxmlformats.org/officeDocument/2006/docPropsVTypes"/>
</file>