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4E79"/>
          <w:sz w:val="44"/>
        </w:rPr>
        <w:t>TAPE</w:t>
      </w:r>
    </w:p>
    <w:p>
      <w:pPr>
        <w:spacing w:after="40"/>
      </w:pPr>
      <w:r>
        <w:rPr>
          <w:b w:val="0"/>
          <w:color w:val="595959"/>
          <w:sz w:val="26"/>
        </w:rPr>
        <w:t>Territorio, Actividades y Potencial Económico</w:t>
      </w:r>
    </w:p>
    <w:p>
      <w:pPr>
        <w:spacing w:after="80"/>
      </w:pPr>
      <w:r>
        <w:rPr>
          <w:b/>
          <w:sz w:val="32"/>
        </w:rPr>
        <w:t>Pasos siguientes para continuar el trabajo</w:t>
      </w:r>
    </w:p>
    <w:p>
      <w:r>
        <w:rPr>
          <w:b w:val="0"/>
        </w:rPr>
        <w:t>Documento de traspaso entre Joaquín Sostoa y su socio. Actualizado el 12 de octubre de 2026. Se basa en docs/ESTADO.md, docs/PLAN_fase0_fase1.md y docs/COLABORACION.md del repositorio, que son la referencia vigente.</w:t>
      </w:r>
    </w:p>
    <w:p>
      <w:pPr>
        <w:pStyle w:val="Heading1"/>
      </w:pPr>
      <w:r>
        <w:t>1. Dónde estamos</w:t>
      </w:r>
    </w:p>
    <w:p>
      <w:pPr>
        <w:pStyle w:val="ListBullet"/>
        <w:spacing w:after="60"/>
      </w:pPr>
      <w:r>
        <w:t>Fase 0 (fundamentos) cerrada: estructura del repositorio, taxonomía de 67 sectores TAPE y puente HS → CPC → CIIU → sector.</w:t>
      </w:r>
    </w:p>
    <w:p>
      <w:pPr>
        <w:pStyle w:val="ListBullet"/>
        <w:spacing w:after="60"/>
      </w:pPr>
      <w:r>
        <w:t>Fuentes internacionales descargables: BACI, Atlas de Complejidad, WDI (15 indicadores), PWT, LPI, concordancias de la ONU, límites administrativos, 10 tablas de SIMEL, NBER-CES y la concordancia HS → NAICS.</w:t>
      </w:r>
    </w:p>
    <w:p>
      <w:pPr>
        <w:pStyle w:val="ListBullet"/>
        <w:spacing w:after="60"/>
      </w:pPr>
      <w:r>
        <w:t>Fuentes nacionales ya incorporadas: PIB por 33 actividades y regional (BCP), crédito por sector, MIP de 21 sectores, EPHC 2022–2025, censo agropecuario 2022 (por departamento y por distrito), carreras de la ANEAES, establecimientos del MEC y siete capas del mapa logístico del MIC.</w:t>
      </w:r>
    </w:p>
    <w:p>
      <w:pPr>
        <w:pStyle w:val="ListBullet"/>
        <w:spacing w:after="60"/>
      </w:pPr>
      <w:r>
        <w:t>Fase 1 (módulo nacional) en marcha: hechas la tarea 1.5 (dotaciones por país) y la 1.6 (requisitos por producto). Ever subió borradores de las tareas 1.2, 1.3, 1.4, 1.7 y 1.8 en src/modelos/. Pasan 125 pruebas.</w:t>
      </w:r>
    </w:p>
    <w:p>
      <w:pPr>
        <w:pStyle w:val="ListBullet"/>
        <w:spacing w:after="60"/>
      </w:pPr>
      <w:r>
        <w:t>Decisiones tomadas el 12 de octubre: D3 (proximidad con ventana de 5 años), D4 (intensidades con NBER-CES y energía con el precio de la electricidad) y D6 (reexportaciones marcadas por regla automática).</w:t>
      </w:r>
    </w:p>
    <w:p>
      <w:pPr>
        <w:pStyle w:val="Heading1"/>
      </w:pPr>
      <w:r>
        <w:t>2. Puesta en marcha (una sola vez)</w:t>
      </w:r>
    </w:p>
    <w:p>
      <w:pPr>
        <w:pStyle w:val="ListNumber"/>
        <w:spacing w:after="60"/>
      </w:pPr>
      <w:r>
        <w:t>Traer los cambios del repositorio con git pull.</w:t>
      </w:r>
    </w:p>
    <w:p>
      <w:pPr>
        <w:pStyle w:val="ListNumber"/>
        <w:spacing w:after="60"/>
      </w:pPr>
      <w:r>
        <w:t>Bajar TAPE_datos_manuales.zip de la carpeta compartida de Drive (45 MB) y descomprimirlo en la raíz del repositorio, donde están data/, src/ y docs/. Deja los archivos en data/raw/&lt;fuente&gt;/.</w:t>
      </w:r>
    </w:p>
    <w:p>
      <w:pPr>
        <w:pStyle w:val="ListNumber"/>
        <w:spacing w:after="60"/>
      </w:pPr>
      <w:r>
        <w:t>Ejecutar, en este orden:</w:t>
      </w:r>
    </w:p>
    <w:p>
      <w:pPr>
        <w:spacing w:after="20"/>
        <w:ind w:left="510"/>
        <w:shd w:val="clear" w:color="auto" w:fill="F2F2F2"/>
      </w:pPr>
      <w:r>
        <w:rPr>
          <w:rFonts w:ascii="Consolas" w:hAnsi="Consolas"/>
          <w:sz w:val="20"/>
        </w:rPr>
        <w:t>uv sync</w:t>
      </w:r>
    </w:p>
    <w:p>
      <w:pPr>
        <w:spacing w:after="20"/>
        <w:ind w:left="510"/>
        <w:shd w:val="clear" w:color="auto" w:fill="F2F2F2"/>
      </w:pPr>
      <w:r>
        <w:rPr>
          <w:rFonts w:ascii="Consolas" w:hAnsi="Consolas"/>
          <w:sz w:val="20"/>
        </w:rPr>
        <w:t>uv run python -m src.descargas.todas      # ≈ 4 GB; si se corta, repetir</w:t>
      </w:r>
    </w:p>
    <w:p>
      <w:pPr>
        <w:spacing w:after="20"/>
        <w:ind w:left="510"/>
        <w:shd w:val="clear" w:color="auto" w:fill="F2F2F2"/>
      </w:pPr>
      <w:r>
        <w:rPr>
          <w:rFonts w:ascii="Consolas" w:hAnsi="Consolas"/>
          <w:sz w:val="20"/>
        </w:rPr>
        <w:t>uv run python -m src.reconstruir_todo</w:t>
      </w:r>
    </w:p>
    <w:p>
      <w:pPr>
        <w:spacing w:after="20"/>
        <w:ind w:left="510"/>
        <w:shd w:val="clear" w:color="auto" w:fill="F2F2F2"/>
      </w:pPr>
      <w:r>
        <w:rPr>
          <w:rFonts w:ascii="Consolas" w:hAnsi="Consolas"/>
          <w:sz w:val="20"/>
        </w:rPr>
        <w:t>uv run pytest</w:t>
      </w:r>
    </w:p>
    <w:p>
      <w:pPr>
        <w:pStyle w:val="ListNumber"/>
        <w:spacing w:after="60"/>
      </w:pPr>
      <w:r>
        <w:t>Anotar en docs/ESTADO.md, sección «Quién hace qué», la tarea que toma cada persona.</w:t>
      </w:r>
    </w:p>
    <w:p>
      <w:pPr>
        <w:spacing w:before="120"/>
      </w:pPr>
      <w:r>
        <w:rPr>
          <w:b w:val="0"/>
        </w:rPr>
        <w:t>Requisitos: Python 3.12, uv y Git. Si algún comando falla, enviar el mensaje de error completo.</w:t>
      </w:r>
    </w:p>
    <w:p>
      <w:pPr>
        <w:pStyle w:val="Heading1"/>
      </w:pPr>
      <w:r>
        <w:t>3. Estado de las tareas de la Fase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74"/>
            <w:shd w:val="clear" w:color="auto" w:fill="1F4E79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Tarea</w:t>
            </w:r>
          </w:p>
        </w:tc>
        <w:tc>
          <w:tcPr>
            <w:tcW w:type="dxa" w:w="4762"/>
            <w:shd w:val="clear" w:color="auto" w:fill="1F4E79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402"/>
            <w:shd w:val="clear" w:color="auto" w:fill="1F4E79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Qué falta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/>
            </w:pPr>
            <w:r>
              <w:rPr>
                <w:b/>
                <w:sz w:val="20"/>
              </w:rPr>
              <w:t>1.1 Limpieza de BACI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b w:val="0"/>
                <w:sz w:val="20"/>
              </w:rPr>
              <w:t>El borrador de Ever trabaja sobre su base DuckDB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b w:val="0"/>
                <w:sz w:val="20"/>
              </w:rPr>
              <w:t>Reproducible desde el repositorio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2F2F2"/>
          </w:tcPr>
          <w:p>
            <w:pPr>
              <w:spacing w:after="40"/>
            </w:pPr>
            <w:r>
              <w:rPr>
                <w:b/>
                <w:sz w:val="20"/>
              </w:rPr>
              <w:t>1.2 Depuración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after="40"/>
            </w:pPr>
            <w:r>
              <w:rPr>
                <w:b w:val="0"/>
                <w:sz w:val="20"/>
              </w:rPr>
              <w:t>Borrador de Ever (energía HS 271600 y reexportaciones)</w:t>
            </w:r>
          </w:p>
        </w:tc>
        <w:tc>
          <w:tcPr>
            <w:tcW w:type="dxa" w:w="3402"/>
            <w:shd w:val="clear" w:color="auto" w:fill="F2F2F2"/>
          </w:tcPr>
          <w:p>
            <w:pPr>
              <w:spacing w:after="40"/>
            </w:pPr>
            <w:r>
              <w:rPr>
                <w:b w:val="0"/>
                <w:sz w:val="20"/>
              </w:rPr>
              <w:t>Recalcular el RCA después de depurar; aplicar la depuración a la presencia y la densidad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/>
            </w:pPr>
            <w:r>
              <w:rPr>
                <w:b/>
                <w:sz w:val="20"/>
              </w:rPr>
              <w:t>1.3 RCA y presencia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b w:val="0"/>
                <w:sz w:val="20"/>
              </w:rPr>
              <w:t>Borrador de Ever (presencia con promedio móvil de 3 años)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b w:val="0"/>
                <w:sz w:val="20"/>
              </w:rPr>
              <w:t>Contrastar con el RCA del Atlas; D7 sin decidir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2F2F2"/>
          </w:tcPr>
          <w:p>
            <w:pPr>
              <w:spacing w:after="40"/>
            </w:pPr>
            <w:r>
              <w:rPr>
                <w:b/>
                <w:sz w:val="20"/>
              </w:rPr>
              <w:t>1.4 Proximidad y densidad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after="40"/>
            </w:pPr>
            <w:r>
              <w:rPr>
                <w:b w:val="0"/>
                <w:sz w:val="20"/>
              </w:rPr>
              <w:t>Borrador de Ever; versión liviana hecha (densidad_np.py)</w:t>
            </w:r>
          </w:p>
        </w:tc>
        <w:tc>
          <w:tcPr>
            <w:tcW w:type="dxa" w:w="3402"/>
            <w:shd w:val="clear" w:color="auto" w:fill="F2F2F2"/>
          </w:tcPr>
          <w:p>
            <w:pPr>
              <w:spacing w:after="40"/>
            </w:pPr>
            <w:r>
              <w:rPr>
                <w:b w:val="0"/>
                <w:sz w:val="20"/>
              </w:rPr>
              <w:t>Pasar a la versión liviana; contrastar con la distancia del Atlas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/>
            </w:pPr>
            <w:r>
              <w:rPr>
                <w:b/>
                <w:sz w:val="20"/>
              </w:rPr>
              <w:t>1.5 Dotaciones por país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b w:val="0"/>
                <w:sz w:val="20"/>
              </w:rPr>
              <w:t>HECHA (docs/dotaciones.md)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b w:val="0"/>
                <w:sz w:val="20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2F2F2"/>
          </w:tcPr>
          <w:p>
            <w:pPr>
              <w:spacing w:after="40"/>
            </w:pPr>
            <w:r>
              <w:rPr>
                <w:b/>
                <w:sz w:val="20"/>
              </w:rPr>
              <w:t>1.6 Requisitos por producto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after="40"/>
            </w:pPr>
            <w:r>
              <w:rPr>
                <w:b w:val="0"/>
                <w:sz w:val="20"/>
              </w:rPr>
              <w:t>HECHA (docs/puente_requisitos.md)</w:t>
            </w:r>
          </w:p>
        </w:tc>
        <w:tc>
          <w:tcPr>
            <w:tcW w:type="dxa" w:w="3402"/>
            <w:shd w:val="clear" w:color="auto" w:fill="F2F2F2"/>
          </w:tcPr>
          <w:p>
            <w:pPr>
              <w:spacing w:after="40"/>
            </w:pPr>
            <w:r>
              <w:rPr>
                <w:b w:val="0"/>
                <w:sz w:val="20"/>
              </w:rPr>
              <w:t>Decidir qué hacer con agro, minería y servicios (sin dato)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/>
            </w:pPr>
            <w:r>
              <w:rPr>
                <w:b/>
                <w:sz w:val="20"/>
              </w:rPr>
              <w:t>1.7 Panel de entradas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b w:val="0"/>
                <w:sz w:val="20"/>
              </w:rPr>
              <w:t>Borrador de Ever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b w:val="0"/>
                <w:sz w:val="20"/>
              </w:rPr>
              <w:t>D7 y D8 sin decidir; sus constantes de D8 no se aplican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2F2F2"/>
          </w:tcPr>
          <w:p>
            <w:pPr>
              <w:spacing w:after="40"/>
            </w:pPr>
            <w:r>
              <w:rPr>
                <w:b/>
                <w:sz w:val="20"/>
              </w:rPr>
              <w:t>1.8 Modelo de densidad sola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after="40"/>
            </w:pPr>
            <w:r>
              <w:rPr>
                <w:b w:val="0"/>
                <w:sz w:val="20"/>
              </w:rPr>
              <w:t>Borrador de Ever; versión liviana del logit hecha (logit_disperso.py)</w:t>
            </w:r>
          </w:p>
        </w:tc>
        <w:tc>
          <w:tcPr>
            <w:tcW w:type="dxa" w:w="3402"/>
            <w:shd w:val="clear" w:color="auto" w:fill="F2F2F2"/>
          </w:tcPr>
          <w:p>
            <w:pPr>
              <w:spacing w:after="40"/>
            </w:pPr>
            <w:r>
              <w:rPr>
                <w:b w:val="0"/>
                <w:sz w:val="20"/>
              </w:rPr>
              <w:t>Pasar a la versión liviana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/>
            </w:pPr>
            <w:r>
              <w:rPr>
                <w:b/>
                <w:sz w:val="20"/>
              </w:rPr>
              <w:t>1.9 a 1.11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b w:val="0"/>
                <w:sz w:val="20"/>
              </w:rPr>
              <w:t>Pendientes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b w:val="0"/>
                <w:sz w:val="20"/>
              </w:rPr>
              <w:t>D2 para el logit y D1 para el informe</w:t>
            </w:r>
          </w:p>
        </w:tc>
      </w:tr>
    </w:tbl>
    <w:p>
      <w:pPr>
        <w:spacing w:after="40"/>
      </w:pPr>
    </w:p>
    <w:p>
      <w:pPr>
        <w:pStyle w:val="Heading1"/>
      </w:pPr>
      <w:r>
        <w:t>4. Decisiones</w:t>
      </w:r>
    </w:p>
    <w:p>
      <w:pPr>
        <w:spacing w:after="60"/>
      </w:pPr>
      <w:r>
        <w:rPr>
          <w:b w:val="0"/>
        </w:rPr>
        <w:t>Decididas el 12 de octubre de 2026 (detalle en docs/supuestos.md):</w:t>
      </w:r>
    </w:p>
    <w:p>
      <w:pPr>
        <w:pStyle w:val="ListBullet"/>
        <w:spacing w:after="60"/>
      </w:pPr>
      <w:r>
        <w:rPr>
          <w:b/>
        </w:rPr>
        <w:t xml:space="preserve">D3: </w:t>
      </w:r>
      <w:r>
        <w:t>proximidad entre productos con ventana de 5 años que termina en el año de corte; la distancia del Atlas solo sirve de control.</w:t>
      </w:r>
    </w:p>
    <w:p>
      <w:pPr>
        <w:pStyle w:val="ListBullet"/>
        <w:spacing w:after="60"/>
      </w:pPr>
      <w:r>
        <w:rPr>
          <w:b/>
        </w:rPr>
        <w:t xml:space="preserve">D4: </w:t>
      </w:r>
      <w:r>
        <w:t>intensidades por producto con NBER-CES y la tabla NAICS → HS de Pierce y Schott; energía = precio de la electricidad (Doing Business, promedio 2014-2019).</w:t>
      </w:r>
    </w:p>
    <w:p>
      <w:pPr>
        <w:pStyle w:val="ListBullet"/>
        <w:spacing w:after="60"/>
      </w:pPr>
      <w:r>
        <w:rPr>
          <w:b/>
        </w:rPr>
        <w:t xml:space="preserve">D6: </w:t>
      </w:r>
      <w:r>
        <w:t>reexportaciones de Paraguay marcadas con una regla automática (importaciones y exportaciones del mismo orden), a revisar después con la aduana.</w:t>
      </w:r>
    </w:p>
    <w:p>
      <w:pPr>
        <w:pStyle w:val="ListBullet"/>
        <w:spacing w:after="60"/>
      </w:pPr>
      <w:r>
        <w:rPr>
          <w:b/>
        </w:rPr>
        <w:t xml:space="preserve">Decididas antes: </w:t>
      </w:r>
      <w:r>
        <w:t>D5 (HS92; 4 dígitos para estimar y 6 para el puente), D9, D11 y D12.</w:t>
      </w:r>
    </w:p>
    <w:p>
      <w:pPr>
        <w:spacing w:before="160"/>
      </w:pPr>
      <w:r>
        <w:rPr>
          <w:b w:val="0"/>
        </w:rPr>
        <w:t>Siguen abiertas, de la más urgente a la menos urgente. La recomendación es la propuesta del plan: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737"/>
            <w:shd w:val="clear" w:color="auto" w:fill="1F4E79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31"/>
            <w:shd w:val="clear" w:color="auto" w:fill="1F4E79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Decisión</w:t>
            </w:r>
          </w:p>
        </w:tc>
        <w:tc>
          <w:tcPr>
            <w:tcW w:type="dxa" w:w="1361"/>
            <w:shd w:val="clear" w:color="auto" w:fill="1F4E79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Desbloquea</w:t>
            </w:r>
          </w:p>
        </w:tc>
        <w:tc>
          <w:tcPr>
            <w:tcW w:type="dxa" w:w="4309"/>
            <w:shd w:val="clear" w:color="auto" w:fill="1F4E79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Recomendación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40"/>
            </w:pPr>
            <w:r>
              <w:rPr>
                <w:b/>
                <w:sz w:val="20"/>
              </w:rPr>
              <w:t>D7</w:t>
            </w:r>
          </w:p>
        </w:tc>
        <w:tc>
          <w:tcPr>
            <w:tcW w:type="dxa" w:w="3231"/>
          </w:tcPr>
          <w:p>
            <w:pPr>
              <w:spacing w:after="40"/>
            </w:pPr>
            <w:r>
              <w:rPr>
                <w:b w:val="0"/>
                <w:sz w:val="20"/>
              </w:rPr>
              <w:t>Definición de entrada sostenida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b w:val="0"/>
                <w:sz w:val="20"/>
              </w:rPr>
              <w:t>1.7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b w:val="0"/>
                <w:sz w:val="20"/>
              </w:rPr>
              <w:t>RCA con promedio móvil de 3 años, y una variante que exige RCA ≥ 1 en dos de tres años. Ever ya implementó la primera.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2F2F2"/>
          </w:tcPr>
          <w:p>
            <w:pPr>
              <w:spacing w:after="40"/>
            </w:pPr>
            <w:r>
              <w:rPr>
                <w:b/>
                <w:sz w:val="20"/>
              </w:rPr>
              <w:t>D8</w:t>
            </w:r>
          </w:p>
        </w:tc>
        <w:tc>
          <w:tcPr>
            <w:tcW w:type="dxa" w:w="3231"/>
            <w:shd w:val="clear" w:color="auto" w:fill="F2F2F2"/>
          </w:tcPr>
          <w:p>
            <w:pPr>
              <w:spacing w:after="40"/>
            </w:pPr>
            <w:r>
              <w:rPr>
                <w:b w:val="0"/>
                <w:sz w:val="20"/>
              </w:rPr>
              <w:t>Muestra de países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40"/>
            </w:pPr>
            <w:r>
              <w:rPr>
                <w:b w:val="0"/>
                <w:sz w:val="20"/>
              </w:rPr>
              <w:t>1.7</w:t>
            </w:r>
          </w:p>
        </w:tc>
        <w:tc>
          <w:tcPr>
            <w:tcW w:type="dxa" w:w="4309"/>
            <w:shd w:val="clear" w:color="auto" w:fill="F2F2F2"/>
          </w:tcPr>
          <w:p>
            <w:pPr>
              <w:spacing w:after="40"/>
            </w:pPr>
            <w:r>
              <w:rPr>
                <w:b w:val="0"/>
                <w:sz w:val="20"/>
              </w:rPr>
              <w:t>Excluir países de menos de 1 millón de habitantes o con exportaciones muy bajas, y reportar el filtro.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40"/>
            </w:pPr>
            <w:r>
              <w:rPr>
                <w:b/>
                <w:sz w:val="20"/>
              </w:rPr>
              <w:t>D2</w:t>
            </w:r>
          </w:p>
        </w:tc>
        <w:tc>
          <w:tcPr>
            <w:tcW w:type="dxa" w:w="3231"/>
          </w:tcPr>
          <w:p>
            <w:pPr>
              <w:spacing w:after="40"/>
            </w:pPr>
            <w:r>
              <w:rPr>
                <w:b w:val="0"/>
                <w:sz w:val="20"/>
              </w:rPr>
              <w:t>Efectos fijos y predicción fuera de muestra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b w:val="0"/>
                <w:sz w:val="20"/>
              </w:rPr>
              <w:t>1.9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b w:val="0"/>
                <w:sz w:val="20"/>
              </w:rPr>
              <w:t>Efectos fijos constantes más dummies de ventana; Mundlak para los países excluidos.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2F2F2"/>
          </w:tcPr>
          <w:p>
            <w:pPr>
              <w:spacing w:after="40"/>
            </w:pPr>
            <w:r>
              <w:rPr>
                <w:b/>
                <w:sz w:val="20"/>
              </w:rPr>
              <w:t>D1</w:t>
            </w:r>
          </w:p>
        </w:tc>
        <w:tc>
          <w:tcPr>
            <w:tcW w:type="dxa" w:w="3231"/>
            <w:shd w:val="clear" w:color="auto" w:fill="F2F2F2"/>
          </w:tcPr>
          <w:p>
            <w:pPr>
              <w:spacing w:after="40"/>
            </w:pPr>
            <w:r>
              <w:rPr>
                <w:b w:val="0"/>
                <w:sz w:val="20"/>
              </w:rPr>
              <w:t>Paso de producto a sector TAPE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40"/>
            </w:pPr>
            <w:r>
              <w:rPr>
                <w:b w:val="0"/>
                <w:sz w:val="20"/>
              </w:rPr>
              <w:t>1.11</w:t>
            </w:r>
          </w:p>
        </w:tc>
        <w:tc>
          <w:tcPr>
            <w:tcW w:type="dxa" w:w="4309"/>
            <w:shd w:val="clear" w:color="auto" w:fill="F2F2F2"/>
          </w:tcPr>
          <w:p>
            <w:pPr>
              <w:spacing w:after="40"/>
            </w:pPr>
            <w:r>
              <w:rPr>
                <w:b w:val="0"/>
                <w:sz w:val="20"/>
              </w:rPr>
              <w:t>Media de la probabilidad ponderada por exportación mundial, con máximo y conteo como respaldo.</w:t>
            </w:r>
          </w:p>
        </w:tc>
      </w:tr>
    </w:tbl>
    <w:p>
      <w:pPr>
        <w:spacing w:after="40"/>
      </w:pPr>
    </w:p>
    <w:p>
      <w:r>
        <w:rPr>
          <w:b w:val="0"/>
        </w:rPr>
        <w:t>D10 (umbral ε de las reglas de política) se deja abierto hasta la Fase 3.</w:t>
      </w:r>
    </w:p>
    <w:p>
      <w:pPr>
        <w:pStyle w:val="Heading1"/>
      </w:pPr>
      <w:r>
        <w:t>5. Hallazgos que hay que resolver</w:t>
      </w:r>
    </w:p>
    <w:p>
      <w:pPr>
        <w:pStyle w:val="ListBullet"/>
        <w:spacing w:after="60"/>
      </w:pPr>
      <w:r>
        <w:t>Capital humano, crédito y logística están muy correlacionadas entre sí (0,65 a 0,76); la energía (precio) es independiente. Decidir en la tarea 1.9 cómo tratarlo.</w:t>
      </w:r>
    </w:p>
    <w:p>
      <w:pPr>
        <w:pStyle w:val="ListBullet"/>
        <w:spacing w:after="60"/>
      </w:pPr>
      <w:r>
        <w:t>Agricultura, minería y servicios no tienen requisitos (NBER-CES es solo manufactura): 13 % del valor mundial, incluida la soja en grano. Decidir cómo tratarlos en el modelo y en el módulo territorial.</w:t>
      </w:r>
    </w:p>
    <w:p>
      <w:pPr>
        <w:pStyle w:val="ListBullet"/>
        <w:spacing w:after="60"/>
      </w:pPr>
      <w:r>
        <w:t>depurar.py quita la energía y las reexportaciones pero no recalcula el RCA: el RCA de los demás productos de Paraguay queda subestimado (la energía es el 23 % de sus exportaciones).</w:t>
      </w:r>
    </w:p>
    <w:p>
      <w:pPr>
        <w:pStyle w:val="ListBullet"/>
        <w:spacing w:after="60"/>
      </w:pPr>
      <w:r>
        <w:t>El precio de la electricidad solo existe para 2014-2019: en la robustez, repetir el modelo con las ventanas desde 2015.</w:t>
      </w:r>
    </w:p>
    <w:p>
      <w:pPr>
        <w:pStyle w:val="Heading1"/>
      </w:pPr>
      <w:r>
        <w:t>6. Datos pendientes (Joaquín)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535"/>
            <w:shd w:val="clear" w:color="auto" w:fill="1F4E79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Pendiente</w:t>
            </w:r>
          </w:p>
        </w:tc>
        <w:tc>
          <w:tcPr>
            <w:tcW w:type="dxa" w:w="5102"/>
            <w:shd w:val="clear" w:color="auto" w:fill="1F4E79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4535"/>
          </w:tcPr>
          <w:p>
            <w:pPr>
              <w:spacing w:after="40"/>
            </w:pPr>
            <w:r>
              <w:rPr>
                <w:b/>
                <w:sz w:val="20"/>
              </w:rPr>
              <w:t>Registro de títulos del MEC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b w:val="0"/>
                <w:sz w:val="20"/>
              </w:rPr>
              <w:t>Solicitud formal enviada el 12/10 (agregado, sin datos personales). Plazo de respuesta: 2/11.</w:t>
            </w:r>
          </w:p>
        </w:tc>
      </w:tr>
      <w:tr>
        <w:trPr>
          <w:cantSplit w:val="true"/>
        </w:trPr>
        <w:tc>
          <w:tcPr>
            <w:tcW w:type="dxa" w:w="4535"/>
            <w:shd w:val="clear" w:color="auto" w:fill="F2F2F2"/>
          </w:tcPr>
          <w:p>
            <w:pPr>
              <w:spacing w:after="40"/>
            </w:pPr>
            <w:r>
              <w:rPr>
                <w:b/>
                <w:sz w:val="20"/>
              </w:rPr>
              <w:t>Registro Nacional de Carreras del MEC</w:t>
            </w:r>
          </w:p>
        </w:tc>
        <w:tc>
          <w:tcPr>
            <w:tcW w:type="dxa" w:w="5102"/>
            <w:shd w:val="clear" w:color="auto" w:fill="F2F2F2"/>
          </w:tcPr>
          <w:p>
            <w:pPr>
              <w:spacing w:after="40"/>
            </w:pPr>
            <w:r>
              <w:rPr>
                <w:b w:val="0"/>
                <w:sz w:val="20"/>
              </w:rPr>
              <w:t>Descarga manual; el sitio rechaza scripts.</w:t>
            </w:r>
          </w:p>
        </w:tc>
      </w:tr>
      <w:tr>
        <w:trPr>
          <w:cantSplit w:val="true"/>
        </w:trPr>
        <w:tc>
          <w:tcPr>
            <w:tcW w:type="dxa" w:w="4535"/>
          </w:tcPr>
          <w:p>
            <w:pPr>
              <w:spacing w:after="40"/>
            </w:pPr>
            <w:r>
              <w:rPr>
                <w:b/>
                <w:sz w:val="20"/>
              </w:rPr>
              <w:t>Censo Económico 2011 por distrito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b w:val="0"/>
                <w:sz w:val="20"/>
              </w:rPr>
              <w:t>Pedido formal al INE (la página no respondía).</w:t>
            </w:r>
          </w:p>
        </w:tc>
      </w:tr>
      <w:tr>
        <w:trPr>
          <w:cantSplit w:val="true"/>
        </w:trPr>
        <w:tc>
          <w:tcPr>
            <w:tcW w:type="dxa" w:w="4535"/>
            <w:shd w:val="clear" w:color="auto" w:fill="F2F2F2"/>
          </w:tcPr>
          <w:p>
            <w:pPr>
              <w:spacing w:after="40"/>
            </w:pPr>
            <w:r>
              <w:rPr>
                <w:b/>
                <w:sz w:val="20"/>
              </w:rPr>
              <w:t>Régimen de materia prima</w:t>
            </w:r>
          </w:p>
        </w:tc>
        <w:tc>
          <w:tcPr>
            <w:tcW w:type="dxa" w:w="5102"/>
            <w:shd w:val="clear" w:color="auto" w:fill="F2F2F2"/>
          </w:tcPr>
          <w:p>
            <w:pPr>
              <w:spacing w:after="40"/>
            </w:pPr>
            <w:r>
              <w:rPr>
                <w:b w:val="0"/>
                <w:sz w:val="20"/>
              </w:rPr>
              <w:t>Pedido formal al MIC.</w:t>
            </w:r>
          </w:p>
        </w:tc>
      </w:tr>
      <w:tr>
        <w:trPr>
          <w:cantSplit w:val="true"/>
        </w:trPr>
        <w:tc>
          <w:tcPr>
            <w:tcW w:type="dxa" w:w="4535"/>
          </w:tcPr>
          <w:p>
            <w:pPr>
              <w:spacing w:after="40"/>
            </w:pPr>
            <w:r>
              <w:rPr>
                <w:b/>
                <w:sz w:val="20"/>
              </w:rPr>
              <w:t>Cuadros de oferta y utilización detallados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b w:val="0"/>
                <w:sz w:val="20"/>
              </w:rPr>
              <w:t>Pedido formal al BCP.</w:t>
            </w:r>
          </w:p>
        </w:tc>
      </w:tr>
      <w:tr>
        <w:trPr>
          <w:cantSplit w:val="true"/>
        </w:trPr>
        <w:tc>
          <w:tcPr>
            <w:tcW w:type="dxa" w:w="4535"/>
            <w:shd w:val="clear" w:color="auto" w:fill="F2F2F2"/>
          </w:tcPr>
          <w:p>
            <w:pPr>
              <w:spacing w:after="40"/>
            </w:pPr>
            <w:r>
              <w:rPr>
                <w:b/>
                <w:sz w:val="20"/>
              </w:rPr>
              <w:t>Cultivos y ganadería del censo agropecuario por distrito</w:t>
            </w:r>
          </w:p>
        </w:tc>
        <w:tc>
          <w:tcPr>
            <w:tcW w:type="dxa" w:w="5102"/>
            <w:shd w:val="clear" w:color="auto" w:fill="F2F2F2"/>
          </w:tcPr>
          <w:p>
            <w:pPr>
              <w:spacing w:after="40"/>
            </w:pPr>
            <w:r>
              <w:rPr>
                <w:b w:val="0"/>
                <w:sz w:val="20"/>
              </w:rPr>
              <w:t>Otro tomo del censo, si existe.</w:t>
            </w:r>
          </w:p>
        </w:tc>
      </w:tr>
      <w:tr>
        <w:trPr>
          <w:cantSplit w:val="true"/>
        </w:trPr>
        <w:tc>
          <w:tcPr>
            <w:tcW w:type="dxa" w:w="4535"/>
          </w:tcPr>
          <w:p>
            <w:pPr>
              <w:spacing w:after="40"/>
            </w:pPr>
            <w:r>
              <w:rPr>
                <w:b/>
                <w:sz w:val="20"/>
              </w:rPr>
              <w:t>Licencias de BACI, Atlas, SIMEL y del visor del MIC; año de las aduanas; autoría de la MIP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b w:val="0"/>
                <w:sz w:val="20"/>
              </w:rPr>
              <w:t>Confirmar con las instituciones antes de publicar.</w:t>
            </w:r>
          </w:p>
        </w:tc>
      </w:tr>
    </w:tbl>
    <w:p>
      <w:pPr>
        <w:spacing w:after="40"/>
      </w:pPr>
    </w:p>
    <w:p>
      <w:r>
        <w:rPr>
          <w:b w:val="0"/>
        </w:rPr>
        <w:t>En paralelo, para la Fase 2: reconciliar los 247 distritos de los límites de 2012 con los 263 del Censo 2022 y definir carrera → CINE-F → sector cuando lleguen los títulos.</w:t>
      </w:r>
    </w:p>
    <w:p>
      <w:pPr>
        <w:pStyle w:val="Heading1"/>
      </w:pPr>
      <w:r>
        <w:t>7. Rendimiento: bases DuckDB y modelos</w:t>
      </w:r>
    </w:p>
    <w:p>
      <w:r>
        <w:rPr>
          <w:b w:val="0"/>
        </w:rPr>
        <w:t>El cálculo de la densidad en SQL generaba unos 1.600 millones de filas por ventana, y el logit con efectos fijos de statsmodels arma una matriz densa de 14 a 16 GB: el disco de Ever perdió unos 60 GB. Medido con datos reales, las versiones livianas lo evitan: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835"/>
            <w:shd w:val="clear" w:color="auto" w:fill="1F4E79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Versión liviana</w:t>
            </w:r>
          </w:p>
        </w:tc>
        <w:tc>
          <w:tcPr>
            <w:tcW w:type="dxa" w:w="2835"/>
            <w:shd w:val="clear" w:color="auto" w:fill="1F4E79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Reemplaza</w:t>
            </w:r>
          </w:p>
        </w:tc>
        <w:tc>
          <w:tcPr>
            <w:tcW w:type="dxa" w:w="3969"/>
            <w:shd w:val="clear" w:color="auto" w:fill="1F4E79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Resultado (ventana real)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40"/>
            </w:pPr>
            <w:r>
              <w:rPr>
                <w:b/>
                <w:sz w:val="20"/>
              </w:rPr>
              <w:t>src/modelos/densidad_np.py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b w:val="0"/>
                <w:sz w:val="20"/>
              </w:rPr>
              <w:t>la densidad en SQL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b w:val="0"/>
                <w:sz w:val="20"/>
              </w:rPr>
              <w:t>3,7 segundos y 490 MB; idéntica a la versión SQL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2F2F2"/>
          </w:tcPr>
          <w:p>
            <w:pPr>
              <w:spacing w:after="40"/>
            </w:pPr>
            <w:r>
              <w:rPr>
                <w:b/>
                <w:sz w:val="20"/>
              </w:rPr>
              <w:t>src/modelos/logit_disperso.py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after="40"/>
            </w:pPr>
            <w:r>
              <w:rPr>
                <w:b w:val="0"/>
                <w:sz w:val="20"/>
              </w:rPr>
              <w:t>el logit de statsmodels</w:t>
            </w:r>
          </w:p>
        </w:tc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>
              <w:rPr>
                <w:b w:val="0"/>
                <w:sz w:val="20"/>
              </w:rPr>
              <w:t>37 segundos y 400 MB (en vez de unos 16 GB)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t>Las bases .duckdb no se suben a Git ni a un servidor (Railway, Cloudflare): solo las tablas resultado en parquet.</w:t>
      </w:r>
    </w:p>
    <w:p>
      <w:pPr>
        <w:pStyle w:val="ListBullet"/>
        <w:spacing w:after="60"/>
      </w:pPr>
      <w:r>
        <w:t>Las rutas de la base se pasan por parámetro, no fijas en el código (hoy hay rutas C:\ever\... y dos copias de la base).</w:t>
      </w:r>
    </w:p>
    <w:p>
      <w:pPr>
        <w:pStyle w:val="ListBullet"/>
        <w:spacing w:after="60"/>
      </w:pPr>
      <w:r>
        <w:t>Cómo recuperar espacio en el disco: docs/optimizacion_modelos.md.</w:t>
      </w:r>
    </w:p>
    <w:p>
      <w:pPr>
        <w:pStyle w:val="Heading1"/>
      </w:pPr>
      <w:r>
        <w:t>8. Reparto de tareas</w:t>
      </w:r>
    </w:p>
    <w:p>
      <w:pPr>
        <w:pStyle w:val="ListBullet"/>
        <w:spacing w:after="60"/>
      </w:pPr>
      <w:r>
        <w:rPr>
          <w:b/>
        </w:rPr>
        <w:t xml:space="preserve">Ever: </w:t>
      </w:r>
      <w:r>
        <w:t>pasa sus módulos a densidad_np.py y logit_disperso.py, recalcula el RCA después de depurar, aplica la depuración a la presencia y la densidad, saca las rutas fijas y sube los cambios con pruebas.</w:t>
      </w:r>
    </w:p>
    <w:p>
      <w:pPr>
        <w:pStyle w:val="ListBullet"/>
        <w:spacing w:after="60"/>
      </w:pPr>
      <w:r>
        <w:rPr>
          <w:b/>
        </w:rPr>
        <w:t xml:space="preserve">Joaquín: </w:t>
      </w:r>
      <w:r>
        <w:t>decide D7 y D8 con Ever, consigue los datos pendientes de la sección 6.</w:t>
      </w:r>
    </w:p>
    <w:p>
      <w:pPr>
        <w:pStyle w:val="ListBullet"/>
        <w:spacing w:after="60"/>
      </w:pPr>
      <w:r>
        <w:rPr>
          <w:b/>
        </w:rPr>
        <w:t xml:space="preserve">Claude Code: </w:t>
      </w:r>
      <w:r>
        <w:t>hechas la 1.5, la 1.6 y las versiones livianas. Siguiente: revisar los módulos de Ever contra D3, D5 y D6 cuando los suba.</w:t>
      </w:r>
    </w:p>
    <w:p>
      <w:pPr>
        <w:pStyle w:val="ListBullet"/>
        <w:spacing w:after="60"/>
      </w:pPr>
      <w:r>
        <w:rPr>
          <w:b/>
        </w:rPr>
        <w:t xml:space="preserve">Reglas de trabajo: </w:t>
      </w:r>
      <w:r>
        <w:t>una tarea por rama (por ejemplo fase1/1-1-limpieza-baci), pruebas y lint en verde antes de cada commit, pull request revisado por la otra persona, no editar nunca data/raw/ y los archivos existentes de src/modelos/ los modifica solo quien trabaja ese módulo.</w:t>
      </w:r>
    </w:p>
    <w:p>
      <w:pPr>
        <w:pStyle w:val="Heading1"/>
      </w:pPr>
      <w:r>
        <w:t>9. Avisos</w:t>
      </w:r>
    </w:p>
    <w:p>
      <w:pPr>
        <w:pStyle w:val="ListBullet"/>
        <w:spacing w:after="60"/>
      </w:pPr>
      <w:r>
        <w:t>El repositorio de GitHub está público de forma temporal para que lo lea la IA del socio. Se vuelve a poner privado cuando termine. No subir nada sensible mientras tanto.</w:t>
      </w:r>
    </w:p>
    <w:p>
      <w:pPr>
        <w:pStyle w:val="ListBullet"/>
        <w:spacing w:after="60"/>
      </w:pPr>
      <w:r>
        <w:t>Los datos del visor del MIC vienen de una página pública sin licencia declarada: son provisorios y de uso interno hasta tener la entrega oficial.</w:t>
      </w:r>
    </w:p>
    <w:sectPr w:rsidR="00FC693F" w:rsidRPr="0006063C" w:rsidSect="00034616">
      <w:footerReference w:type="default" r:id="rId9"/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8"/>
      </w:rPr>
      <w:t xml:space="preserve">TAPE · LabDE · pasos siguientes · página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TAPE: pasos siguientes</dc:title>
  <dc:subject/>
  <dc:creator>Joaquín Sostoa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