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TAPE</w:t>
      </w:r>
    </w:p>
    <w:p>
      <w:pPr>
        <w:spacing w:after="40"/>
      </w:pPr>
      <w:r>
        <w:rPr>
          <w:b w:val="0"/>
          <w:color w:val="595959"/>
          <w:sz w:val="26"/>
        </w:rPr>
        <w:t>Territorio, Actividades y Potencial Económico</w:t>
      </w:r>
    </w:p>
    <w:p>
      <w:pPr>
        <w:spacing w:after="80"/>
      </w:pPr>
      <w:r>
        <w:rPr>
          <w:b/>
          <w:sz w:val="32"/>
        </w:rPr>
        <w:t>Pasos siguientes para continuar el trabajo</w:t>
      </w:r>
    </w:p>
    <w:p>
      <w:r>
        <w:rPr>
          <w:b w:val="0"/>
        </w:rPr>
        <w:t>Documento de traspaso entre Joaquín Sostoa y su socio. Fecha: 9 de octubre de 2026. Se basa en docs/PLAN_fase0_fase1.md, docs/ESTADO.md y docs/COLABORACION.md del repositorio, que son la referencia vigente.</w:t>
      </w:r>
    </w:p>
    <w:p>
      <w:pPr>
        <w:pStyle w:val="Heading1"/>
      </w:pPr>
      <w:r>
        <w:t>1. Dónde estamos</w:t>
      </w:r>
    </w:p>
    <w:p>
      <w:pPr>
        <w:pStyle w:val="ListBullet"/>
        <w:spacing w:after="60"/>
      </w:pPr>
      <w:r>
        <w:t>Fase 0 (fundamentos) cerrada: estructura del repositorio, taxonomía de 67 sectores TAPE y puente HS → CPC → CIIU → sector.</w:t>
      </w:r>
    </w:p>
    <w:p>
      <w:pPr>
        <w:pStyle w:val="ListBullet"/>
        <w:spacing w:after="60"/>
      </w:pPr>
      <w:r>
        <w:t>Fuentes internacionales descargables: BACI, Atlas de Complejidad, WDI, PWT, LPI, concordancias de la ONU, límites administrativos y 10 tablas de SIMEL.</w:t>
      </w:r>
    </w:p>
    <w:p>
      <w:pPr>
        <w:pStyle w:val="ListBullet"/>
        <w:spacing w:after="60"/>
      </w:pPr>
      <w:r>
        <w:t>Fuentes nacionales ya incorporadas: PIB por 33 actividades y regional (BCP), crédito por sector, MIP de 21 sectores, EPHC 2022–2025, censo agropecuario 2022 (por departamento y por distrito), carreras de la ANEAES, establecimientos del MEC y siete capas del mapa logístico del MIC (población y PEA por distrito, industrias, red eléctrica, rutas, polos y AFI, aduanas, salud).</w:t>
      </w:r>
    </w:p>
    <w:p>
      <w:pPr>
        <w:pStyle w:val="ListBullet"/>
        <w:spacing w:after="60"/>
      </w:pPr>
      <w:r>
        <w:t>Fase 1 (módulo nacional): sin empezar. Pasan 95 pruebas automáticas.</w:t>
      </w:r>
    </w:p>
    <w:p>
      <w:pPr>
        <w:pStyle w:val="Heading1"/>
      </w:pPr>
      <w:r>
        <w:t>2. Puesta en marcha (una sola vez)</w:t>
      </w:r>
    </w:p>
    <w:p>
      <w:pPr>
        <w:pStyle w:val="ListNumber"/>
        <w:spacing w:after="60"/>
      </w:pPr>
      <w:r>
        <w:t>Traer los cambios del repositorio con git pull.</w:t>
      </w:r>
    </w:p>
    <w:p>
      <w:pPr>
        <w:pStyle w:val="ListNumber"/>
        <w:spacing w:after="60"/>
      </w:pPr>
      <w:r>
        <w:t>Bajar TAPE_datos_manuales.zip de la carpeta compartida de Drive (45 MB) y descomprimirlo en la raíz del repositorio, donde están data/, src/ y docs/. Deja los archivos en data/raw/&lt;fuente&gt;/.</w:t>
      </w:r>
    </w:p>
    <w:p>
      <w:pPr>
        <w:pStyle w:val="ListNumber"/>
        <w:spacing w:after="60"/>
      </w:pPr>
      <w:r>
        <w:t>Ejecutar, en este orden:</w:t>
      </w:r>
    </w:p>
    <w:p>
      <w:pPr>
        <w:spacing w:after="20"/>
        <w:ind w:left="510"/>
        <w:shd w:val="clear" w:color="auto" w:fill="F2F2F2"/>
      </w:pPr>
      <w:r>
        <w:rPr>
          <w:rFonts w:ascii="Consolas" w:hAnsi="Consolas"/>
          <w:sz w:val="20"/>
        </w:rPr>
        <w:t>uv sync</w:t>
      </w:r>
    </w:p>
    <w:p>
      <w:pPr>
        <w:spacing w:after="20"/>
        <w:ind w:left="510"/>
        <w:shd w:val="clear" w:color="auto" w:fill="F2F2F2"/>
      </w:pPr>
      <w:r>
        <w:rPr>
          <w:rFonts w:ascii="Consolas" w:hAnsi="Consolas"/>
          <w:sz w:val="20"/>
        </w:rPr>
        <w:t>uv run python -m src.descargas.todas      # ≈ 4 GB; si se corta, repetir</w:t>
      </w:r>
    </w:p>
    <w:p>
      <w:pPr>
        <w:spacing w:after="20"/>
        <w:ind w:left="510"/>
        <w:shd w:val="clear" w:color="auto" w:fill="F2F2F2"/>
      </w:pPr>
      <w:r>
        <w:rPr>
          <w:rFonts w:ascii="Consolas" w:hAnsi="Consolas"/>
          <w:sz w:val="20"/>
        </w:rPr>
        <w:t>uv run python -m src.reconstruir_todo</w:t>
      </w:r>
    </w:p>
    <w:p>
      <w:pPr>
        <w:spacing w:after="20"/>
        <w:ind w:left="510"/>
        <w:shd w:val="clear" w:color="auto" w:fill="F2F2F2"/>
      </w:pPr>
      <w:r>
        <w:rPr>
          <w:rFonts w:ascii="Consolas" w:hAnsi="Consolas"/>
          <w:sz w:val="20"/>
        </w:rPr>
        <w:t>uv run pytest</w:t>
      </w:r>
    </w:p>
    <w:p>
      <w:pPr>
        <w:pStyle w:val="ListNumber"/>
        <w:spacing w:after="60"/>
      </w:pPr>
      <w:r>
        <w:t>Anotar en docs/ESTADO.md, sección «Quién hace qué», la tarea que toma cada persona.</w:t>
      </w:r>
    </w:p>
    <w:p>
      <w:pPr>
        <w:spacing w:before="120"/>
      </w:pPr>
      <w:r>
        <w:rPr>
          <w:b w:val="0"/>
        </w:rPr>
        <w:t>Requisitos: Python 3.12, uv y Git. Si algún comando falla, enviar el mensaje de error completo.</w:t>
      </w:r>
    </w:p>
    <w:p>
      <w:pPr>
        <w:pStyle w:val="Heading1"/>
      </w:pPr>
      <w:r>
        <w:t>3. Tareas que se pueden hacer ya, sin decisiones previas</w:t>
      </w:r>
    </w:p>
    <w:p>
      <w:r>
        <w:rPr>
          <w:b w:val="0"/>
        </w:rPr>
        <w:t>Son tareas de código con un criterio de terminado claro. Cada una cierra con un resumen, una tabla o gráfico de control y un commit.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Tarea</w:t>
            </w:r>
          </w:p>
        </w:tc>
        <w:tc>
          <w:tcPr>
            <w:tcW w:type="dxa" w:w="5102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Qué hace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Depende de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b/>
                <w:sz w:val="20"/>
              </w:rPr>
              <w:t>1.1 Limpieza de BACI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b w:val="0"/>
                <w:sz w:val="20"/>
              </w:rPr>
              <w:t>Lee el zip de BACI sin extraerlo y deja data/clean/comercio_hs92.parquet con país, socio, producto, año, valor y toneladas.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b w:val="0"/>
                <w:sz w:val="20"/>
              </w:rPr>
              <w:t>Nada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1.3 RCA y presencia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Funciones puras con un ejemplo hecho a mano. Se contrasta con el RCA del Atlas (correlación esperada mayor a 0,99).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1.1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b/>
                <w:sz w:val="20"/>
              </w:rPr>
              <w:t>1.8 Métricas de evaluación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b w:val="0"/>
                <w:sz w:val="20"/>
              </w:rPr>
              <w:t>precision@k, AUC-PR y calibración, cada una con una prueba mínima. Es el piso contra el que se compara todo.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b w:val="0"/>
                <w:sz w:val="20"/>
              </w:rPr>
              <w:t>Nada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1.5 Dotaciones (parte)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Capital humano, crédito y logística por país y año, desde WDI, PWT y LPI. La energía espera D4.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Nada</w:t>
            </w:r>
          </w:p>
        </w:tc>
      </w:tr>
    </w:tbl>
    <w:p>
      <w:pPr>
        <w:spacing w:after="40"/>
      </w:pPr>
    </w:p>
    <w:p>
      <w:pPr>
        <w:pStyle w:val="Heading1"/>
      </w:pPr>
      <w:r>
        <w:t>4. Decisiones que hay que tomar entre los dos</w:t>
      </w:r>
    </w:p>
    <w:p>
      <w:r>
        <w:rPr>
          <w:b w:val="0"/>
        </w:rPr>
        <w:t>De la más urgente a la menos urgente. La recomendación es la propuesta del plan; cada decisión se anota en docs/supuestos.md con fecha y alternativa descartada.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737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31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Decisión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Desbloquea</w:t>
            </w:r>
          </w:p>
        </w:tc>
        <w:tc>
          <w:tcPr>
            <w:tcW w:type="dxa" w:w="4309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Recomendación</w:t>
            </w:r>
          </w:p>
        </w:tc>
      </w:tr>
      <w:tr>
        <w:tc>
          <w:tcPr>
            <w:tcW w:type="dxa" w:w="737"/>
          </w:tcPr>
          <w:p>
            <w:pPr>
              <w:spacing w:after="40"/>
            </w:pPr>
            <w:r>
              <w:rPr>
                <w:b/>
                <w:sz w:val="20"/>
              </w:rPr>
              <w:t>D4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b w:val="0"/>
                <w:sz w:val="20"/>
              </w:rPr>
              <w:t>Fuente de las intensidades por producto (energía, capital, habilidades) y del costo de energía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b w:val="0"/>
                <w:sz w:val="20"/>
              </w:rPr>
              <w:t>1.5 y 1.6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b w:val="0"/>
                <w:sz w:val="20"/>
              </w:rPr>
              <w:t>Intensidades con NBER-CES; energía con un proxy de WDI al inicio. Es la capa más débil con datos públicos.</w:t>
            </w:r>
          </w:p>
        </w:tc>
      </w:tr>
      <w:tr>
        <w:tc>
          <w:tcPr>
            <w:tcW w:type="dxa" w:w="737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D6</w:t>
            </w:r>
          </w:p>
        </w:tc>
        <w:tc>
          <w:tcPr>
            <w:tcW w:type="dxa" w:w="3231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Cómo marcar las reexportaciones de Paraguay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1.2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Marcar productos con importaciones y exportaciones del mismo orden y confirmar luego con la aduana.</w:t>
            </w:r>
          </w:p>
        </w:tc>
      </w:tr>
      <w:tr>
        <w:tc>
          <w:tcPr>
            <w:tcW w:type="dxa" w:w="737"/>
          </w:tcPr>
          <w:p>
            <w:pPr>
              <w:spacing w:after="40"/>
            </w:pPr>
            <w:r>
              <w:rPr>
                <w:b/>
                <w:sz w:val="20"/>
              </w:rPr>
              <w:t>D3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b w:val="0"/>
                <w:sz w:val="20"/>
              </w:rPr>
              <w:t>Cómo calcular la proximidad entre productos sin fuga de información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b w:val="0"/>
                <w:sz w:val="20"/>
              </w:rPr>
              <w:t>1.4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b w:val="0"/>
                <w:sz w:val="20"/>
              </w:rPr>
              <w:t>Ventana de 5 años que termina en el año de corte.</w:t>
            </w:r>
          </w:p>
        </w:tc>
      </w:tr>
      <w:tr>
        <w:tc>
          <w:tcPr>
            <w:tcW w:type="dxa" w:w="737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D7</w:t>
            </w:r>
          </w:p>
        </w:tc>
        <w:tc>
          <w:tcPr>
            <w:tcW w:type="dxa" w:w="3231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Definición de entrada sostenida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1.7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RCA con promedio móvil de 3 años, y una variante que exige RCA ≥ 1 en dos de tres años.</w:t>
            </w:r>
          </w:p>
        </w:tc>
      </w:tr>
      <w:tr>
        <w:tc>
          <w:tcPr>
            <w:tcW w:type="dxa" w:w="737"/>
          </w:tcPr>
          <w:p>
            <w:pPr>
              <w:spacing w:after="40"/>
            </w:pPr>
            <w:r>
              <w:rPr>
                <w:b/>
                <w:sz w:val="20"/>
              </w:rPr>
              <w:t>D8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b w:val="0"/>
                <w:sz w:val="20"/>
              </w:rPr>
              <w:t>Muestra de países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b w:val="0"/>
                <w:sz w:val="20"/>
              </w:rPr>
              <w:t>1.7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b w:val="0"/>
                <w:sz w:val="20"/>
              </w:rPr>
              <w:t>Excluir países de menos de 1 millón de habitantes o con exportaciones muy bajas, y reportar el filtro.</w:t>
            </w:r>
          </w:p>
        </w:tc>
      </w:tr>
      <w:tr>
        <w:tc>
          <w:tcPr>
            <w:tcW w:type="dxa" w:w="737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D2</w:t>
            </w:r>
          </w:p>
        </w:tc>
        <w:tc>
          <w:tcPr>
            <w:tcW w:type="dxa" w:w="3231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Efectos fijos y predicción fuera de muestra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1.9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Efectos fijos constantes más dummies de ventana; Mundlak para los países excluidos.</w:t>
            </w:r>
          </w:p>
        </w:tc>
      </w:tr>
      <w:tr>
        <w:tc>
          <w:tcPr>
            <w:tcW w:type="dxa" w:w="737"/>
          </w:tcPr>
          <w:p>
            <w:pPr>
              <w:spacing w:after="40"/>
            </w:pPr>
            <w:r>
              <w:rPr>
                <w:b/>
                <w:sz w:val="20"/>
              </w:rPr>
              <w:t>D1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b w:val="0"/>
                <w:sz w:val="20"/>
              </w:rPr>
              <w:t>Paso de producto a sector TAPE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b w:val="0"/>
                <w:sz w:val="20"/>
              </w:rPr>
              <w:t>1.11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b w:val="0"/>
                <w:sz w:val="20"/>
              </w:rPr>
              <w:t>Media de la probabilidad ponderada por exportación mundial, con máximo y conteo como respaldo.</w:t>
            </w:r>
          </w:p>
        </w:tc>
      </w:tr>
    </w:tbl>
    <w:p>
      <w:pPr>
        <w:spacing w:after="40"/>
      </w:pPr>
    </w:p>
    <w:p>
      <w:r>
        <w:rPr>
          <w:b w:val="0"/>
        </w:rPr>
        <w:t>D10 (umbral ε de las reglas de política) se deja abierto hasta tener los resultados de la Fase 3.</w:t>
      </w:r>
    </w:p>
    <w:p>
      <w:r>
        <w:rPr>
          <w:b w:val="0"/>
        </w:rPr>
        <w:t>Ya decididas: D5 (HS92; 4 dígitos para estimar y 6 para el puente), D9 (sectores a partir de CIIU Rev.4), D11 (las carreras del MEC se vinculan a CIIU y no a HS) y D12 (unidad común: división CIIU de 2 dígitos).</w:t>
      </w:r>
    </w:p>
    <w:p>
      <w:pPr>
        <w:pStyle w:val="Heading1"/>
      </w:pPr>
      <w:r>
        <w:t>5. Camino completo de la Fase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247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Tarea</w:t>
            </w:r>
          </w:p>
        </w:tc>
        <w:tc>
          <w:tcPr>
            <w:tcW w:type="dxa" w:w="6236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Qué produce</w:t>
            </w:r>
          </w:p>
        </w:tc>
        <w:tc>
          <w:tcPr>
            <w:tcW w:type="dxa" w:w="2154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Decisiones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b/>
                <w:sz w:val="20"/>
              </w:rPr>
              <w:t>1.1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Limpieza de BACI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1.2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Depuración: excluir la energía de Itaipú y Yacyretá (HS 271600) y marcar las reexportaciones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D6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b/>
                <w:sz w:val="20"/>
              </w:rPr>
              <w:t>1.3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RCA y matriz de presencia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1.4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Proximidad y densidad sin fuga de información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D3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b/>
                <w:sz w:val="20"/>
              </w:rPr>
              <w:t>1.5 y 1.6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Dotaciones por país y requisitos por producto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b w:val="0"/>
                <w:sz w:val="20"/>
              </w:rPr>
              <w:t>D4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1.7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Panel de entradas (ventanas 2000→2005→2010→2015→2020, h = 5 y 10)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D7, D8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b/>
                <w:sz w:val="20"/>
              </w:rPr>
              <w:t>1.8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Modelo de referencia: solo densidad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1.9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Logit con capas y efectos fijos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D2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b/>
                <w:sz w:val="20"/>
              </w:rPr>
              <w:t>1.10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XGBoost de control con SHAP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1.11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Backtest y validación; informe de la Fase 1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D1</w:t>
            </w:r>
          </w:p>
        </w:tc>
      </w:tr>
    </w:tbl>
    <w:p>
      <w:pPr>
        <w:spacing w:after="40"/>
      </w:pPr>
    </w:p>
    <w:p>
      <w:r>
        <w:rPr>
          <w:b w:val="0"/>
        </w:rPr>
        <w:t>Condición para pasar a la Fase 2: el modelo con capas supera a la densidad sola en precision@k. Los resultados se leen como asociación, no como causalidad, y siempre con su incertidumbre.</w:t>
      </w:r>
    </w:p>
    <w:p>
      <w:pPr>
        <w:pStyle w:val="Heading1"/>
      </w:pPr>
      <w:r>
        <w:t>6. En paralelo: datos de la Fase 2 (territorial)</w:t>
      </w:r>
    </w:p>
    <w:p>
      <w:pPr>
        <w:pStyle w:val="ListBullet"/>
        <w:spacing w:after="60"/>
      </w:pPr>
      <w:r>
        <w:t>Registro de títulos y Registro Nacional de Carreras del MEC: los consigue Joaquín. Después hay que definir carrera → CINE-F → sector. El registro de títulos trae nombres y documentos de personas: se trabaja solo con agregados y no se sube a ningún lado.</w:t>
      </w:r>
    </w:p>
    <w:p>
      <w:pPr>
        <w:pStyle w:val="ListBullet"/>
        <w:spacing w:after="60"/>
      </w:pPr>
      <w:r>
        <w:t>Reconciliar los 247 distritos de los límites de 2012 con los 263 del Censo 2022. Hoy las industrias, subestaciones y rutas usan los límites viejos, y la población y el censo agropecuario usan los nuevos.</w:t>
      </w:r>
    </w:p>
    <w:p>
      <w:pPr>
        <w:pStyle w:val="ListBullet"/>
        <w:spacing w:after="60"/>
      </w:pPr>
      <w:r>
        <w:t>Serie histórica de crédito más larga y datos de crédito por actividad, si se consiguen.</w:t>
      </w:r>
    </w:p>
    <w:p>
      <w:pPr>
        <w:pStyle w:val="ListBullet"/>
        <w:spacing w:after="60"/>
      </w:pPr>
      <w:r>
        <w:t>Informes de maquila y de la Ley de Inversiones: última capa, como complemento y no como serie.</w:t>
      </w:r>
    </w:p>
    <w:p>
      <w:pPr>
        <w:pStyle w:val="Heading1"/>
      </w:pPr>
      <w:r>
        <w:t>7. Pendientes de datos (Joaquín)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535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Pendiente</w:t>
            </w:r>
          </w:p>
        </w:tc>
        <w:tc>
          <w:tcPr>
            <w:tcW w:type="dxa" w:w="5102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Cómo se consigue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b/>
                <w:sz w:val="20"/>
              </w:rPr>
              <w:t>Registro de títulos y de carreras del MEC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b w:val="0"/>
                <w:sz w:val="20"/>
              </w:rPr>
              <w:t>Descarga manual desde el portal del MEC (rechaza scripts).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Censo Económico 2011 por distrito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Pedido formal al INE (la página no respondía).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b/>
                <w:sz w:val="20"/>
              </w:rPr>
              <w:t>Régimen de materia prima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b w:val="0"/>
                <w:sz w:val="20"/>
              </w:rPr>
              <w:t>Pedido formal al MIC.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Cuadros de oferta y utilización detallados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Pedido formal al BCP.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b/>
                <w:sz w:val="20"/>
              </w:rPr>
              <w:t>Cultivos y ganadería del censo agropecuario por distrito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b w:val="0"/>
                <w:sz w:val="20"/>
              </w:rPr>
              <w:t>Otro tomo del censo, si existe.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Año de las cifras de aduanas y autoría de la MIP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Confirmar con el MIC y con el BCP.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b/>
                <w:sz w:val="20"/>
              </w:rPr>
              <w:t>Licencias de SIMEL y del visor del MIC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b w:val="0"/>
                <w:sz w:val="20"/>
              </w:rPr>
              <w:t>Confirmar con las instituciones antes de publicar.</w:t>
            </w:r>
          </w:p>
        </w:tc>
      </w:tr>
    </w:tbl>
    <w:p>
      <w:pPr>
        <w:spacing w:after="40"/>
      </w:pPr>
    </w:p>
    <w:p>
      <w:pPr>
        <w:pStyle w:val="Heading1"/>
      </w:pPr>
      <w:r>
        <w:t>8. Reparto sugerido</w:t>
      </w:r>
    </w:p>
    <w:p>
      <w:pPr>
        <w:pStyle w:val="ListBullet"/>
        <w:spacing w:after="60"/>
      </w:pPr>
      <w:r>
        <w:rPr>
          <w:b/>
        </w:rPr>
        <w:t xml:space="preserve">Tu socio: </w:t>
      </w:r>
      <w:r>
        <w:t>tareas 1.1, 1.3 y 1.8. Son código puro, no esperan decisiones y desbloquean todo lo demás.</w:t>
      </w:r>
    </w:p>
    <w:p>
      <w:pPr>
        <w:pStyle w:val="ListBullet"/>
        <w:spacing w:after="60"/>
      </w:pPr>
      <w:r>
        <w:rPr>
          <w:b/>
        </w:rPr>
        <w:t xml:space="preserve">Joaquín con Claude Code: </w:t>
      </w:r>
      <w:r>
        <w:t>decisiones D4, D6 y D3, que son las que más trancan al resto; después, los datos pendientes de la sección 7.</w:t>
      </w:r>
    </w:p>
    <w:p>
      <w:pPr>
        <w:pStyle w:val="ListBullet"/>
        <w:spacing w:after="60"/>
      </w:pPr>
      <w:r>
        <w:rPr>
          <w:b/>
        </w:rPr>
        <w:t xml:space="preserve">Reglas de trabajo: </w:t>
      </w:r>
      <w:r>
        <w:t>una tarea por rama (por ejemplo fase1/1-1-limpieza-baci), pruebas y lint en verde antes de cada commit, pull request revisado por la otra persona, y no editar nunca data/raw/.</w:t>
      </w:r>
    </w:p>
    <w:p>
      <w:pPr>
        <w:pStyle w:val="Heading1"/>
      </w:pPr>
      <w:r>
        <w:t>9. Avisos</w:t>
      </w:r>
    </w:p>
    <w:p>
      <w:pPr>
        <w:pStyle w:val="ListBullet"/>
        <w:spacing w:after="60"/>
      </w:pPr>
      <w:r>
        <w:t>El repositorio de GitHub está público de forma temporal para que lo lea la IA del socio. Se vuelve a poner privado cuando termine. No subir nada sensible mientras tanto.</w:t>
      </w:r>
    </w:p>
    <w:p>
      <w:pPr>
        <w:pStyle w:val="ListBullet"/>
        <w:spacing w:after="60"/>
      </w:pPr>
      <w:r>
        <w:t>Los datos del visor del MIC vienen de una página pública sin licencia declarada: son provisorios y de uso interno hasta tener la entrega oficial.</w:t>
      </w:r>
    </w:p>
    <w:sectPr w:rsidR="00FC693F" w:rsidRPr="0006063C" w:rsidSect="00034616">
      <w:footerReference w:type="default" r:id="rId9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 xml:space="preserve">TAPE · LabDE · pasos siguientes · página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TAPE: pasos siguientes</dc:title>
  <dc:subject/>
  <dc:creator>Joaquín Sostoa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