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B7D4A"/>
          <w:sz w:val="80"/>
        </w:rPr>
        <w:t>SENERGY</w:t>
      </w:r>
    </w:p>
    <w:p>
      <w:pPr>
        <w:spacing w:after="600"/>
        <w:jc w:val="center"/>
      </w:pPr>
      <w:r>
        <w:rPr>
          <w:color w:val="1F2937"/>
          <w:sz w:val="40"/>
        </w:rPr>
        <w:t>Análisis de Mercado, Estado del Arte</w:t>
        <w:br/>
        <w:t>y Viabilidad de Financiamiento</w:t>
      </w:r>
    </w:p>
    <w:p>
      <w:pPr>
        <w:jc w:val="center"/>
      </w:pPr>
      <w:r>
        <w:rPr>
          <w:i/>
          <w:color w:val="6B7280"/>
          <w:sz w:val="21"/>
        </w:rPr>
        <w:t>Julio 2026  |  Preparado a partir del código fuente de la app y datos públicos de mercado (CNE, Ministerio de Energía, Start-Up Chile, benchmarks de la industria de apps móviles)</w:t>
      </w:r>
    </w:p>
    <w:p>
      <w:r>
        <w:br w:type="page"/>
      </w:r>
    </w:p>
    <w:p>
      <w:pPr>
        <w:pStyle w:val="Heading1"/>
      </w:pPr>
      <w:r>
        <w:rPr>
          <w:color w:val="1B7D4A"/>
          <w:sz w:val="32"/>
        </w:rPr>
        <w:t>1. Resumen Ejecutivo</w:t>
      </w:r>
    </w:p>
    <w:p>
      <w:pPr>
        <w:spacing w:after="160"/>
      </w:pPr>
      <w:r>
        <w:rPr>
          <w:b w:val="0"/>
          <w:i w:val="0"/>
          <w:sz w:val="22"/>
        </w:rPr>
        <w:t>SENERGY es una app móvil (Android, Expo/React Native) para registrar manualmente lecturas del medidor eléctrico, calcular consumo y costo según la tarifa vigente de la distribuidora regional, presupuestar gasto mensual, recibir alertas e insights automáticos, y llevar un historial personal de incidentes (cortes, baja/sobre tensión). Se monetiza con anuncios (AdMob) para el plan gratuito y una suscripción Premium de $1.000 CLP/mes que los elimina.</w:t>
      </w:r>
    </w:p>
    <w:p>
      <w:pPr>
        <w:spacing w:before="120" w:after="200"/>
      </w:pPr>
      <w:r>
        <w:rPr>
          <w:b/>
          <w:color w:val="DC2626"/>
        </w:rPr>
        <w:t xml:space="preserve">Conclusión directa:  </w:t>
      </w:r>
      <w:r>
        <w:rPr>
          <w:i/>
        </w:rPr>
        <w:t>En su forma actual (solo Android, solo Chile, sin presupuesto de marketing), SENERGY no genera ingresos suficientes para ser un vehículo de inversión de capital de riesgo. Sí es un candidato razonable para financiamiento no dilutivo tipo Start-Up Chile, y puede convertirse en un negocio boostrapped modesto pero real si se ejecuta bien. Para ser realmente "de impacto país" e invertible, necesita uno o más pivotes de producto y expansión geográfica — detallados en la sección 9.</w:t>
      </w:r>
    </w:p>
    <w:p>
      <w:pPr>
        <w:spacing w:after="160"/>
      </w:pPr>
      <w:r>
        <w:rPr>
          <w:b w:val="0"/>
          <w:i w:val="0"/>
          <w:sz w:val="22"/>
        </w:rPr>
        <w:t>Este documento cubre: qué existe hoy en el mercado chileno para este problema (estado del arte), tamaño real de mercado (TAM/SAM/SOM), proyecciones financieras con supuestos explícitos en 3 escenarios, estructura de costos, y una recomendación honesta sobre rentabilidad y financiamiento.</w:t>
      </w:r>
    </w:p>
    <w:p>
      <w:pPr>
        <w:pStyle w:val="Heading1"/>
      </w:pPr>
      <w:r>
        <w:rPr>
          <w:color w:val="1B7D4A"/>
          <w:sz w:val="32"/>
        </w:rPr>
        <w:t>2. ¿Qué es SENERGY hoy? (según el código fuente)</w:t>
      </w:r>
    </w:p>
    <w:p>
      <w:pPr>
        <w:spacing w:after="160"/>
      </w:pPr>
      <w:r>
        <w:rPr>
          <w:b w:val="0"/>
          <w:i w:val="0"/>
          <w:sz w:val="22"/>
        </w:rPr>
        <w:t>Es importante partir de lo que la app efectivamente hace, no de lo que podría hacer:</w:t>
      </w:r>
    </w:p>
    <w:p>
      <w:pPr>
        <w:pStyle w:val="ListBullet"/>
      </w:pPr>
      <w:r>
        <w:rPr>
          <w:b/>
        </w:rPr>
        <w:t xml:space="preserve">Entrada de datos: </w:t>
      </w:r>
      <w:r>
        <w:t>Registro manual de lecturas del medidor, con foto de respaldo (sin OCR ni lectura automática — el usuario escribe el número).</w:t>
      </w:r>
    </w:p>
    <w:p>
      <w:pPr>
        <w:pStyle w:val="ListBullet"/>
      </w:pPr>
      <w:r>
        <w:rPr>
          <w:b/>
        </w:rPr>
        <w:t xml:space="preserve">Cálculo de costo: </w:t>
      </w:r>
      <w:r>
        <w:t>Base de datos interna de tarifas BT1 residenciales por región y distribuidora (Enel, CGE, Saesa, Chilquinta, cooperativas rurales, etc.) para calcular costo en pesos a partir del consumo en kWh.</w:t>
      </w:r>
    </w:p>
    <w:p>
      <w:pPr>
        <w:pStyle w:val="ListBullet"/>
      </w:pPr>
      <w:r>
        <w:rPr>
          <w:b/>
        </w:rPr>
        <w:t xml:space="preserve">Estadísticas: </w:t>
      </w:r>
      <w:r>
        <w:t>Múltiples medidores por usuario (útil para quien arrienda propiedades o tiene más de una vivienda), gráficos de consumo, comparación entre períodos, proyección de gasto mensual.</w:t>
      </w:r>
    </w:p>
    <w:p>
      <w:pPr>
        <w:pStyle w:val="ListBullet"/>
      </w:pPr>
      <w:r>
        <w:rPr>
          <w:b/>
        </w:rPr>
        <w:t xml:space="preserve">Insights automáticos: </w:t>
      </w:r>
      <w:r>
        <w:t>Reglas simples que detectan aumentos de consumo, proyectan si se supera el presupuesto mensual, y detectan picos.</w:t>
      </w:r>
    </w:p>
    <w:p>
      <w:pPr>
        <w:pStyle w:val="ListBullet"/>
      </w:pPr>
      <w:r>
        <w:rPr>
          <w:b/>
        </w:rPr>
        <w:t xml:space="preserve">Incidencias: </w:t>
      </w:r>
      <w:r>
        <w:t>Registro personal de cortes de luz, baja/sobre tensión (privado, no es un mapa comunitario/crowdsourced de cortes).</w:t>
      </w:r>
    </w:p>
    <w:p>
      <w:pPr>
        <w:pStyle w:val="ListBullet"/>
      </w:pPr>
      <w:r>
        <w:rPr>
          <w:b/>
        </w:rPr>
        <w:t xml:space="preserve">Monetización: </w:t>
      </w:r>
      <w:r>
        <w:t>Plan gratuito con anuncios (AdMob) + Plan Premium $1.000 CLP/mes sin anuncios, vía RevenueCat/Google Play Billing.</w:t>
      </w:r>
    </w:p>
    <w:p>
      <w:pPr>
        <w:spacing w:after="160"/>
      </w:pPr>
      <w:r>
        <w:rPr>
          <w:b w:val="0"/>
          <w:i/>
          <w:color w:val="6B7280"/>
          <w:sz w:val="22"/>
        </w:rPr>
        <w:t>No incluye actualmente: integración con medidores inteligentes o APIs de las distribuidoras, lectura automática de fotos (OCR/IA), comparador de tarifas para cambiarse de distribuidora, ni ninguna función comunitaria o de red entre usuarios.</w:t>
      </w:r>
    </w:p>
    <w:p>
      <w:pPr>
        <w:pStyle w:val="Heading1"/>
      </w:pPr>
      <w:r>
        <w:rPr>
          <w:color w:val="1B7D4A"/>
          <w:sz w:val="32"/>
        </w:rPr>
        <w:t>3. Estado del Arte / Panorama Competitivo</w:t>
      </w:r>
    </w:p>
    <w:p>
      <w:pPr>
        <w:pStyle w:val="Heading2"/>
      </w:pPr>
      <w:r>
        <w:rPr>
          <w:color w:val="1B7D4A"/>
          <w:sz w:val="26"/>
        </w:rPr>
        <w:t>3.1 Las distribuidoras ya ofrecen gran parte de esto gratis</w:t>
      </w:r>
    </w:p>
    <w:p>
      <w:pPr>
        <w:spacing w:after="160"/>
      </w:pPr>
      <w:r>
        <w:rPr>
          <w:b w:val="0"/>
          <w:i w:val="0"/>
          <w:sz w:val="22"/>
        </w:rPr>
        <w:t>Este es el hallazgo más importante del estudio. Enel y CGE — que juntas cubren la gran mayoría de los clientes regulados del país — ya operan apps oficiales gratuitas con funciones que se solapan directamente con el núcleo de SENERGY:</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B7D4A"/>
          </w:tcPr>
          <w:p>
            <w:r/>
            <w:r>
              <w:rPr>
                <w:b/>
                <w:color w:val="FFFFFF"/>
                <w:sz w:val="20"/>
              </w:rPr>
              <w:t>App oficial</w:t>
            </w:r>
          </w:p>
        </w:tc>
        <w:tc>
          <w:tcPr>
            <w:tcW w:type="dxa" w:w="2304"/>
            <w:shd w:val="clear" w:color="auto" w:fill="1B7D4A"/>
          </w:tcPr>
          <w:p>
            <w:r/>
            <w:r>
              <w:rPr>
                <w:b/>
                <w:color w:val="FFFFFF"/>
                <w:sz w:val="20"/>
              </w:rPr>
              <w:t>Cobertura</w:t>
            </w:r>
          </w:p>
        </w:tc>
        <w:tc>
          <w:tcPr>
            <w:tcW w:type="dxa" w:w="4752"/>
            <w:shd w:val="clear" w:color="auto" w:fill="1B7D4A"/>
          </w:tcPr>
          <w:p>
            <w:r/>
            <w:r>
              <w:rPr>
                <w:b/>
                <w:color w:val="FFFFFF"/>
                <w:sz w:val="20"/>
              </w:rPr>
              <w:t>Funciones relevantes (gratis)</w:t>
            </w:r>
          </w:p>
        </w:tc>
      </w:tr>
      <w:tr>
        <w:tc>
          <w:tcPr>
            <w:tcW w:type="dxa" w:w="2304"/>
          </w:tcPr>
          <w:p>
            <w:r/>
            <w:r>
              <w:rPr>
                <w:sz w:val="20"/>
              </w:rPr>
              <w:t>Enel Clientes Chile / Mi Enel</w:t>
            </w:r>
          </w:p>
        </w:tc>
        <w:tc>
          <w:tcPr>
            <w:tcW w:type="dxa" w:w="2304"/>
          </w:tcPr>
          <w:p>
            <w:r/>
            <w:r>
              <w:rPr>
                <w:sz w:val="20"/>
              </w:rPr>
              <w:t>Región Metropolitana y otras zonas Enel</w:t>
            </w:r>
          </w:p>
        </w:tc>
        <w:tc>
          <w:tcPr>
            <w:tcW w:type="dxa" w:w="4752"/>
          </w:tcPr>
          <w:p>
            <w:r/>
            <w:r>
              <w:rPr>
                <w:sz w:val="20"/>
              </w:rPr>
              <w:t>Historial de consumo mes a mes, boletas, gráfico de últimos 6 períodos en la boleta, y (con medidor inteligente) consumo por hora/día/semana/mes con recomendaciones de eficiencia</w:t>
            </w:r>
          </w:p>
        </w:tc>
      </w:tr>
      <w:tr>
        <w:tc>
          <w:tcPr>
            <w:tcW w:type="dxa" w:w="2304"/>
          </w:tcPr>
          <w:p>
            <w:r/>
            <w:r>
              <w:rPr>
                <w:sz w:val="20"/>
              </w:rPr>
              <w:t>CGE 1Click / Sucursal Virtual</w:t>
            </w:r>
          </w:p>
        </w:tc>
        <w:tc>
          <w:tcPr>
            <w:tcW w:type="dxa" w:w="2304"/>
          </w:tcPr>
          <w:p>
            <w:r/>
            <w:r>
              <w:rPr>
                <w:sz w:val="20"/>
              </w:rPr>
              <w:t>Gran parte de las regiones (CGE Distribución)</w:t>
            </w:r>
          </w:p>
        </w:tc>
        <w:tc>
          <w:tcPr>
            <w:tcW w:type="dxa" w:w="4752"/>
          </w:tcPr>
          <w:p>
            <w:r/>
            <w:r>
              <w:rPr>
                <w:sz w:val="20"/>
              </w:rPr>
              <w:t>Pago de cuenta, consumo de últimos 3/6/12 meses, aviso de cortes programados, reporte de emergencias, y "Aporte de Lectura" (el cliente informa su propia lectura, igual que SENERGY)</w:t>
            </w:r>
          </w:p>
        </w:tc>
      </w:tr>
    </w:tbl>
    <w:p>
      <w:pPr>
        <w:spacing w:after="80"/>
      </w:pPr>
    </w:p>
    <w:p>
      <w:pPr>
        <w:spacing w:after="160"/>
      </w:pPr>
      <w:r>
        <w:rPr>
          <w:b w:val="0"/>
          <w:i w:val="0"/>
          <w:sz w:val="22"/>
        </w:rPr>
        <w:t>En otras palabras: el "trabajo" que SENERGY le pide al usuario hacer manualmente (anotar la lectura, ver el consumo, comparar meses) ya se lo entrega gratis y automáticamente su propia distribuidora, sin fricción de tipeo. Esto no invalida el producto, pero sí define claramente cuál es el único ángulo diferenciador real: multi-medidor/multi-propiedad en una sola app, presupuesto y alertas personalizadas, y un registro que no depende de cada distribuidora por separado.</w:t>
      </w:r>
    </w:p>
    <w:p>
      <w:pPr>
        <w:pStyle w:val="Heading2"/>
      </w:pPr>
      <w:r>
        <w:rPr>
          <w:color w:val="1B7D4A"/>
          <w:sz w:val="26"/>
        </w:rPr>
        <w:t>3.2 Apps genéricas de terceros</w:t>
      </w:r>
    </w:p>
    <w:p>
      <w:pPr>
        <w:spacing w:after="160"/>
      </w:pPr>
      <w:r>
        <w:rPr>
          <w:b w:val="0"/>
          <w:i w:val="0"/>
          <w:sz w:val="22"/>
        </w:rPr>
        <w:t>Existen apps similares tipo "Control de Consumo Eléctrico" (Google Play) o "Consumo Eléctrico" (App Store), pero están orientadas al mercado español y no incluyen tarifas chilenas ni distribuidoras locales. No se encontró evidencia de una app equivalente a SENERGY (multi-medidor + tarifas por región chilena + presupuesto) actualmente activa y dirigida específicamente al mercado chileno. Es un nicho real, pero vacío por buenas razones: el incumbente gratuito (la distribuidora) ya resuelve el 80% del problema para el usuario promedio.</w:t>
      </w:r>
    </w:p>
    <w:p>
      <w:pPr>
        <w:pStyle w:val="Heading2"/>
      </w:pPr>
      <w:r>
        <w:rPr>
          <w:color w:val="1B7D4A"/>
          <w:sz w:val="26"/>
        </w:rPr>
        <w:t>3.3 Startups chilenas de eficiencia energética (B2B, no compiten directo)</w:t>
      </w:r>
    </w:p>
    <w:p>
      <w:pPr>
        <w:spacing w:after="160"/>
      </w:pPr>
      <w:r>
        <w:rPr>
          <w:b w:val="0"/>
          <w:i w:val="0"/>
          <w:sz w:val="22"/>
        </w:rPr>
        <w:t>El ecosistema de startups de energía en Chile está orientado a empresas, no a consumidores finales: EMMA (eficiencia energética corporativa con IA), Flair (optimización de climatización, alianza con Copec), Playvolt (carga de vehículos eléctricos). Ninguna compite directo con un app B2C de seguimiento de consumo residencial — lo que confirma que es un nicho sin tracción de venture capital validada en Chile hasta ahora, en cualquiera de los dos sentidos posibles: espacio libre, o espacio sin demanda de inversión comprobada.</w:t>
      </w:r>
    </w:p>
    <w:p>
      <w:pPr>
        <w:pStyle w:val="Heading2"/>
      </w:pPr>
      <w:r>
        <w:rPr>
          <w:color w:val="1B7D4A"/>
          <w:sz w:val="26"/>
        </w:rPr>
        <w:t>3.4 Medidores inteligentes: la amenaza y oportunidad de mediano plazo</w:t>
      </w:r>
    </w:p>
    <w:p>
      <w:pPr>
        <w:spacing w:after="160"/>
      </w:pPr>
      <w:r>
        <w:rPr>
          <w:b w:val="0"/>
          <w:i w:val="0"/>
          <w:sz w:val="22"/>
        </w:rPr>
        <w:t>El Ministerio de Energía tiene en curso un plan de reemplazo de hasta 6,5 millones de medidores inteligentes (~USD 1.000 millones de inversión), de carácter voluntario y actualmente en debate legislativo sobre quién financia el recambio. Cuando un hogar tiene medidor inteligente, la distribuidora ya entrega consumo por hora/día automáticamente vía su app — eliminando por completo la necesidad de anotar lecturas a mano.</w:t>
      </w:r>
    </w:p>
    <w:p>
      <w:pPr>
        <w:spacing w:before="120" w:after="200"/>
      </w:pPr>
      <w:r>
        <w:rPr>
          <w:b/>
          <w:color w:val="1B7D4A"/>
        </w:rPr>
        <w:t xml:space="preserve">Lectura estratégica:  </w:t>
      </w:r>
      <w:r>
        <w:rPr>
          <w:i/>
        </w:rPr>
        <w:t>Esto es una espada de doble filo. Mientras el rollout sea parcial y lento (lo es: es voluntario y políticamente disputado, con cobertura probablemente incompleta por 3-7+ años), SENERGY mantiene su nicho de "anotación manual + multi-medidor + multi-distribuidora". Pero es una ventana temporal, no una posición permanente — el producto debería asumir que en 5-10 años la lectura manual será obsoleta para la mayoría, y diseñar su moat en otra parte (ver sección 9).</w:t>
      </w:r>
    </w:p>
    <w:p>
      <w:pPr>
        <w:pStyle w:val="Heading2"/>
      </w:pPr>
      <w:r>
        <w:rPr>
          <w:color w:val="1B7D4A"/>
          <w:sz w:val="26"/>
        </w:rPr>
        <w:t>3.5 Conclusión del panorama competitivo</w:t>
      </w:r>
    </w:p>
    <w:p>
      <w:pPr>
        <w:spacing w:after="160"/>
      </w:pPr>
      <w:r>
        <w:rPr>
          <w:b w:val="0"/>
          <w:i w:val="0"/>
          <w:sz w:val="22"/>
        </w:rPr>
        <w:t>SENERGY no compite contra una startup rival — compite contra "gratis y ya instalado" (la app de tu propia distribuidora) y contra la inercia de no hacer nada. Ese es un competidor mucho más difícil de vencer que otro startup, porque no se puede superar en precio (ya es gratis) ni en confianza (es tu proveedor oficial). La propuesta de valor viable no es "verás tu consumo" (ya lo ves gratis) sino "verás TODOS tus medidores/propiedades y tu presupuesto en un solo lugar, sin depender de cada distribuidora".</w:t>
      </w:r>
    </w:p>
    <w:p>
      <w:pPr>
        <w:pStyle w:val="Heading1"/>
      </w:pPr>
      <w:r>
        <w:rPr>
          <w:color w:val="1B7D4A"/>
          <w:sz w:val="32"/>
        </w:rPr>
        <w:t>4. Estudio de Mercado (TAM / SAM / SOM)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shd w:val="clear" w:color="auto" w:fill="1B7D4A"/>
          </w:tcPr>
          <w:p>
            <w:r/>
            <w:r>
              <w:rPr>
                <w:b/>
                <w:color w:val="FFFFFF"/>
                <w:sz w:val="20"/>
              </w:rPr>
              <w:t>Nivel</w:t>
            </w:r>
          </w:p>
        </w:tc>
        <w:tc>
          <w:tcPr>
            <w:tcW w:type="dxa" w:w="3744"/>
            <w:shd w:val="clear" w:color="auto" w:fill="1B7D4A"/>
          </w:tcPr>
          <w:p>
            <w:r/>
            <w:r>
              <w:rPr>
                <w:b/>
                <w:color w:val="FFFFFF"/>
                <w:sz w:val="20"/>
              </w:rPr>
              <w:t>Definición</w:t>
            </w:r>
          </w:p>
        </w:tc>
        <w:tc>
          <w:tcPr>
            <w:tcW w:type="dxa" w:w="2736"/>
            <w:shd w:val="clear" w:color="auto" w:fill="1B7D4A"/>
          </w:tcPr>
          <w:p>
            <w:r/>
            <w:r>
              <w:rPr>
                <w:b/>
                <w:color w:val="FFFFFF"/>
                <w:sz w:val="20"/>
              </w:rPr>
              <w:t>Tamaño estimado</w:t>
            </w:r>
          </w:p>
        </w:tc>
        <w:tc>
          <w:tcPr>
            <w:tcW w:type="dxa" w:w="2880"/>
            <w:shd w:val="clear" w:color="auto" w:fill="1B7D4A"/>
          </w:tcPr>
          <w:p>
            <w:r/>
            <w:r>
              <w:rPr>
                <w:b/>
                <w:color w:val="FFFFFF"/>
                <w:sz w:val="20"/>
              </w:rPr>
              <w:t>Fuente / supuesto</w:t>
            </w:r>
          </w:p>
        </w:tc>
      </w:tr>
      <w:tr>
        <w:tc>
          <w:tcPr>
            <w:tcW w:type="dxa" w:w="1584"/>
          </w:tcPr>
          <w:p>
            <w:r/>
            <w:r>
              <w:rPr>
                <w:sz w:val="20"/>
              </w:rPr>
              <w:t>TAM</w:t>
            </w:r>
          </w:p>
        </w:tc>
        <w:tc>
          <w:tcPr>
            <w:tcW w:type="dxa" w:w="3744"/>
          </w:tcPr>
          <w:p>
            <w:r/>
            <w:r>
              <w:rPr>
                <w:sz w:val="20"/>
              </w:rPr>
              <w:t>Clientes regulados de electricidad en Chile (hogares)</w:t>
            </w:r>
          </w:p>
        </w:tc>
        <w:tc>
          <w:tcPr>
            <w:tcW w:type="dxa" w:w="2736"/>
          </w:tcPr>
          <w:p>
            <w:r/>
            <w:r>
              <w:rPr>
                <w:sz w:val="20"/>
              </w:rPr>
              <w:t>≈ 7,3 - 7,8 millones</w:t>
            </w:r>
          </w:p>
        </w:tc>
        <w:tc>
          <w:tcPr>
            <w:tcW w:type="dxa" w:w="2880"/>
          </w:tcPr>
          <w:p>
            <w:r/>
            <w:r>
              <w:rPr>
                <w:sz w:val="20"/>
              </w:rPr>
              <w:t>CNE / BCN, datos 2023, con crecimiento vegetativo leve</w:t>
            </w:r>
          </w:p>
        </w:tc>
      </w:tr>
      <w:tr>
        <w:tc>
          <w:tcPr>
            <w:tcW w:type="dxa" w:w="1584"/>
          </w:tcPr>
          <w:p>
            <w:r/>
            <w:r>
              <w:rPr>
                <w:sz w:val="20"/>
              </w:rPr>
              <w:t>SAM</w:t>
            </w:r>
          </w:p>
        </w:tc>
        <w:tc>
          <w:tcPr>
            <w:tcW w:type="dxa" w:w="3744"/>
          </w:tcPr>
          <w:p>
            <w:r/>
            <w:r>
              <w:rPr>
                <w:sz w:val="20"/>
              </w:rPr>
              <w:t>De ese TAM, hogares con smartphone y acceso a Internet</w:t>
            </w:r>
          </w:p>
        </w:tc>
        <w:tc>
          <w:tcPr>
            <w:tcW w:type="dxa" w:w="2736"/>
          </w:tcPr>
          <w:p>
            <w:r/>
            <w:r>
              <w:rPr>
                <w:sz w:val="20"/>
              </w:rPr>
              <w:t>≈ 7,0 - 7,4 millones (≈95% del TAM)</w:t>
            </w:r>
          </w:p>
        </w:tc>
        <w:tc>
          <w:tcPr>
            <w:tcW w:type="dxa" w:w="2880"/>
          </w:tcPr>
          <w:p>
            <w:r/>
            <w:r>
              <w:rPr>
                <w:sz w:val="20"/>
              </w:rPr>
              <w:t>Penetración de smartphone en adultos chilenos ~97%; Internet ~94,5%</w:t>
            </w:r>
          </w:p>
        </w:tc>
      </w:tr>
      <w:tr>
        <w:tc>
          <w:tcPr>
            <w:tcW w:type="dxa" w:w="1584"/>
          </w:tcPr>
          <w:p>
            <w:r/>
            <w:r>
              <w:rPr>
                <w:sz w:val="20"/>
              </w:rPr>
              <w:t>SOM Año 1 (orgánico, sin marketing pagado)</w:t>
            </w:r>
          </w:p>
        </w:tc>
        <w:tc>
          <w:tcPr>
            <w:tcW w:type="dxa" w:w="3744"/>
          </w:tcPr>
          <w:p>
            <w:r/>
            <w:r>
              <w:rPr>
                <w:sz w:val="20"/>
              </w:rPr>
              <w:t>Instalaciones realistas para un app indie sin presupuesto de adquisición</w:t>
            </w:r>
          </w:p>
        </w:tc>
        <w:tc>
          <w:tcPr>
            <w:tcW w:type="dxa" w:w="2736"/>
          </w:tcPr>
          <w:p>
            <w:r/>
            <w:r>
              <w:rPr>
                <w:sz w:val="20"/>
              </w:rPr>
              <w:t>2.000 - 25.000 instalaciones acumuladas</w:t>
            </w:r>
          </w:p>
        </w:tc>
        <w:tc>
          <w:tcPr>
            <w:tcW w:type="dxa" w:w="2880"/>
          </w:tcPr>
          <w:p>
            <w:r/>
            <w:r>
              <w:rPr>
                <w:sz w:val="20"/>
              </w:rPr>
              <w:t>Ver escenarios financieros, sección 6</w:t>
            </w:r>
          </w:p>
        </w:tc>
      </w:tr>
    </w:tbl>
    <w:p>
      <w:pPr>
        <w:spacing w:after="80"/>
      </w:pPr>
    </w:p>
    <w:p>
      <w:pPr>
        <w:spacing w:after="160"/>
      </w:pPr>
      <w:r>
        <w:rPr>
          <w:b w:val="0"/>
          <w:i w:val="0"/>
          <w:sz w:val="22"/>
        </w:rPr>
        <w:t>El dato más importante de esta sección no es el TAM (que es grande y saludable: prácticamente todo el país tiene el problema y el teléfono para resolverlo), sino que la brecha entre TAM/SAM y SOM realista es enorme. El límite no es el tamaño del mercado — es la capacidad de adquirir usuarios sin presupuesto de marketing, compitiendo contra una solución gratuita ya instalada por el incumbente.</w:t>
      </w:r>
    </w:p>
    <w:p>
      <w:pPr>
        <w:pStyle w:val="Heading1"/>
      </w:pPr>
      <w:r>
        <w:rPr>
          <w:color w:val="1B7D4A"/>
          <w:sz w:val="32"/>
        </w:rPr>
        <w:t>5. Modelo de Negocio Actual y Supuestos de Monetización</w:t>
      </w:r>
    </w:p>
    <w:p>
      <w:pPr>
        <w:spacing w:after="160"/>
      </w:pPr>
      <w:r>
        <w:rPr>
          <w:b w:val="0"/>
          <w:i w:val="0"/>
          <w:sz w:val="22"/>
        </w:rPr>
        <w:t>Dos fuentes de ingreso, ambas con techos estructurales bajos para este tipo de producto:</w:t>
      </w:r>
    </w:p>
    <w:p>
      <w:pPr>
        <w:pStyle w:val="ListBullet"/>
      </w:pPr>
      <w:r>
        <w:rPr>
          <w:b/>
        </w:rPr>
        <w:t xml:space="preserve">Publicidad (AdMob): </w:t>
      </w:r>
      <w:r>
        <w:t>Banners en Home, Stats y Profile. El eCPM de banner en Chile/LatAm es bajo comparado a mercados Tier 1 (EE.UU./Europa): referencias de mercado sitúan el eCPM de banner en LatAm entre USD 0,12 y USD 0,80, muy por debajo de los USD 0,45-0,68 de EE.UU. Además, SENERGY es un app de baja frecuencia de uso (se revisa cuando llega la boleta, no a diario como una red social o juego), por lo que el volumen de impresiones por usuario es intrínsecamente bajo.</w:t>
      </w:r>
    </w:p>
    <w:p>
      <w:pPr>
        <w:pStyle w:val="ListBullet"/>
      </w:pPr>
      <w:r>
        <w:rPr>
          <w:b/>
        </w:rPr>
        <w:t xml:space="preserve">Suscripción Premium: </w:t>
      </w:r>
      <w:r>
        <w:t>$1.000 CLP/mes (≈ USD 1,08). Google Play retiene 15% para desarrolladores bajo el programa de pequeñas empresas, dejando ≈ $850 CLP (≈ USD 0,92) netos por suscriptor al mes. Es un precio psicológicamente muy accesible, pero también un ARPU extremadamente bajo: se necesitan muchísimos suscriptores para que la cifra total importe.</w:t>
      </w:r>
    </w:p>
    <w:p>
      <w:pPr>
        <w:spacing w:after="160"/>
      </w:pPr>
      <w:r>
        <w:rPr>
          <w:b w:val="0"/>
          <w:i/>
          <w:color w:val="6B7280"/>
          <w:sz w:val="22"/>
        </w:rPr>
        <w:t>Supuesto de conversión free-to-paid: la industria cita 4-6% para apps freemium bien diseñadas con features exclusivas fuertes. SENERGY hoy solo ofrece "sin anuncios + soporte prioritario" como beneficio Premium — un gancho débil. Este análisis usa un rango más conservador y realista: 1% a 4% según escenario.</w:t>
      </w:r>
    </w:p>
    <w:p>
      <w:pPr>
        <w:pStyle w:val="Heading1"/>
      </w:pPr>
      <w:r>
        <w:rPr>
          <w:color w:val="1B7D4A"/>
          <w:sz w:val="32"/>
        </w:rPr>
        <w:t>6. Proyecciones Financieras (3 escenarios)</w:t>
      </w:r>
    </w:p>
    <w:p>
      <w:pPr>
        <w:spacing w:after="160"/>
      </w:pPr>
      <w:r>
        <w:rPr>
          <w:b w:val="0"/>
          <w:i w:val="0"/>
          <w:sz w:val="22"/>
        </w:rPr>
        <w:t>Supuestos base para los 3 escenarios (Chile, solo Android, sin inversión en adquisición pagada, tipo de cambio ≈ $925 CLP/USD):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032"/>
            <w:shd w:val="clear" w:color="auto" w:fill="1B7D4A"/>
          </w:tcPr>
          <w:p>
            <w:r/>
            <w:r>
              <w:rPr>
                <w:b/>
                <w:color w:val="FFFFFF"/>
                <w:sz w:val="20"/>
              </w:rPr>
              <w:t>Supuesto</w:t>
            </w:r>
          </w:p>
        </w:tc>
        <w:tc>
          <w:tcPr>
            <w:tcW w:type="dxa" w:w="2160"/>
            <w:shd w:val="clear" w:color="auto" w:fill="1B7D4A"/>
          </w:tcPr>
          <w:p>
            <w:r/>
            <w:r>
              <w:rPr>
                <w:b/>
                <w:color w:val="FFFFFF"/>
                <w:sz w:val="20"/>
              </w:rPr>
              <w:t>Conservador</w:t>
            </w:r>
          </w:p>
        </w:tc>
        <w:tc>
          <w:tcPr>
            <w:tcW w:type="dxa" w:w="2160"/>
            <w:shd w:val="clear" w:color="auto" w:fill="1B7D4A"/>
          </w:tcPr>
          <w:p>
            <w:r/>
            <w:r>
              <w:rPr>
                <w:b/>
                <w:color w:val="FFFFFF"/>
                <w:sz w:val="20"/>
              </w:rPr>
              <w:t>Base</w:t>
            </w:r>
          </w:p>
        </w:tc>
        <w:tc>
          <w:tcPr>
            <w:tcW w:type="dxa" w:w="2160"/>
            <w:shd w:val="clear" w:color="auto" w:fill="1B7D4A"/>
          </w:tcPr>
          <w:p>
            <w:r/>
            <w:r>
              <w:rPr>
                <w:b/>
                <w:color w:val="FFFFFF"/>
                <w:sz w:val="20"/>
              </w:rPr>
              <w:t>Optimista</w:t>
            </w:r>
          </w:p>
        </w:tc>
      </w:tr>
      <w:tr>
        <w:tc>
          <w:tcPr>
            <w:tcW w:type="dxa" w:w="4032"/>
          </w:tcPr>
          <w:p>
            <w:r/>
            <w:r>
              <w:rPr>
                <w:sz w:val="20"/>
              </w:rPr>
              <w:t>Instalaciones acumuladas (mes 12)</w:t>
            </w:r>
          </w:p>
        </w:tc>
        <w:tc>
          <w:tcPr>
            <w:tcW w:type="dxa" w:w="2160"/>
          </w:tcPr>
          <w:p>
            <w:r/>
            <w:r>
              <w:rPr>
                <w:sz w:val="20"/>
              </w:rPr>
              <w:t>2.000</w:t>
            </w:r>
          </w:p>
        </w:tc>
        <w:tc>
          <w:tcPr>
            <w:tcW w:type="dxa" w:w="2160"/>
          </w:tcPr>
          <w:p>
            <w:r/>
            <w:r>
              <w:rPr>
                <w:sz w:val="20"/>
              </w:rPr>
              <w:t>8.000</w:t>
            </w:r>
          </w:p>
        </w:tc>
        <w:tc>
          <w:tcPr>
            <w:tcW w:type="dxa" w:w="2160"/>
          </w:tcPr>
          <w:p>
            <w:r/>
            <w:r>
              <w:rPr>
                <w:sz w:val="20"/>
              </w:rPr>
              <w:t>25.000</w:t>
            </w:r>
          </w:p>
        </w:tc>
      </w:tr>
      <w:tr>
        <w:tc>
          <w:tcPr>
            <w:tcW w:type="dxa" w:w="4032"/>
          </w:tcPr>
          <w:p>
            <w:r/>
            <w:r>
              <w:rPr>
                <w:sz w:val="20"/>
              </w:rPr>
              <w:t>Retención / usuarios activos mensuales (MAU) al mes 12</w:t>
            </w:r>
          </w:p>
        </w:tc>
        <w:tc>
          <w:tcPr>
            <w:tcW w:type="dxa" w:w="2160"/>
          </w:tcPr>
          <w:p>
            <w:r/>
            <w:r>
              <w:rPr>
                <w:sz w:val="20"/>
              </w:rPr>
              <w:t>300 (15%)</w:t>
            </w:r>
          </w:p>
        </w:tc>
        <w:tc>
          <w:tcPr>
            <w:tcW w:type="dxa" w:w="2160"/>
          </w:tcPr>
          <w:p>
            <w:r/>
            <w:r>
              <w:rPr>
                <w:sz w:val="20"/>
              </w:rPr>
              <w:t>1.600 (20%)</w:t>
            </w:r>
          </w:p>
        </w:tc>
        <w:tc>
          <w:tcPr>
            <w:tcW w:type="dxa" w:w="2160"/>
          </w:tcPr>
          <w:p>
            <w:r/>
            <w:r>
              <w:rPr>
                <w:sz w:val="20"/>
              </w:rPr>
              <w:t>6.250 (25%)</w:t>
            </w:r>
          </w:p>
        </w:tc>
      </w:tr>
      <w:tr>
        <w:tc>
          <w:tcPr>
            <w:tcW w:type="dxa" w:w="4032"/>
          </w:tcPr>
          <w:p>
            <w:r/>
            <w:r>
              <w:rPr>
                <w:sz w:val="20"/>
              </w:rPr>
              <w:t>Conversión a Premium (% de MAU)</w:t>
            </w:r>
          </w:p>
        </w:tc>
        <w:tc>
          <w:tcPr>
            <w:tcW w:type="dxa" w:w="2160"/>
          </w:tcPr>
          <w:p>
            <w:r/>
            <w:r>
              <w:rPr>
                <w:sz w:val="20"/>
              </w:rPr>
              <w:t>1,0%</w:t>
            </w:r>
          </w:p>
        </w:tc>
        <w:tc>
          <w:tcPr>
            <w:tcW w:type="dxa" w:w="2160"/>
          </w:tcPr>
          <w:p>
            <w:r/>
            <w:r>
              <w:rPr>
                <w:sz w:val="20"/>
              </w:rPr>
              <w:t>2,5%</w:t>
            </w:r>
          </w:p>
        </w:tc>
        <w:tc>
          <w:tcPr>
            <w:tcW w:type="dxa" w:w="2160"/>
          </w:tcPr>
          <w:p>
            <w:r/>
            <w:r>
              <w:rPr>
                <w:sz w:val="20"/>
              </w:rPr>
              <w:t>4,0%</w:t>
            </w:r>
          </w:p>
        </w:tc>
      </w:tr>
      <w:tr>
        <w:tc>
          <w:tcPr>
            <w:tcW w:type="dxa" w:w="4032"/>
          </w:tcPr>
          <w:p>
            <w:r/>
            <w:r>
              <w:rPr>
                <w:sz w:val="20"/>
              </w:rPr>
              <w:t>eCPM banner asumido</w:t>
            </w:r>
          </w:p>
        </w:tc>
        <w:tc>
          <w:tcPr>
            <w:tcW w:type="dxa" w:w="2160"/>
          </w:tcPr>
          <w:p>
            <w:r/>
            <w:r>
              <w:rPr>
                <w:sz w:val="20"/>
              </w:rPr>
              <w:t>USD 0,20</w:t>
            </w:r>
          </w:p>
        </w:tc>
        <w:tc>
          <w:tcPr>
            <w:tcW w:type="dxa" w:w="2160"/>
          </w:tcPr>
          <w:p>
            <w:r/>
            <w:r>
              <w:rPr>
                <w:sz w:val="20"/>
              </w:rPr>
              <w:t>USD 0,30</w:t>
            </w:r>
          </w:p>
        </w:tc>
        <w:tc>
          <w:tcPr>
            <w:tcW w:type="dxa" w:w="2160"/>
          </w:tcPr>
          <w:p>
            <w:r/>
            <w:r>
              <w:rPr>
                <w:sz w:val="20"/>
              </w:rPr>
              <w:t>USD 0,40</w:t>
            </w:r>
          </w:p>
        </w:tc>
      </w:tr>
    </w:tbl>
    <w:p>
      <w:pPr>
        <w:spacing w:after="80"/>
      </w:pP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1B7D4A"/>
          </w:tcPr>
          <w:p>
            <w:r/>
            <w:r>
              <w:rPr>
                <w:b/>
                <w:color w:val="FFFFFF"/>
                <w:sz w:val="20"/>
              </w:rPr>
              <w:t>Escenario</w:t>
            </w:r>
          </w:p>
        </w:tc>
        <w:tc>
          <w:tcPr>
            <w:tcW w:type="dxa" w:w="2448"/>
            <w:shd w:val="clear" w:color="auto" w:fill="1B7D4A"/>
          </w:tcPr>
          <w:p>
            <w:r/>
            <w:r>
              <w:rPr>
                <w:b/>
                <w:color w:val="FFFFFF"/>
                <w:sz w:val="20"/>
              </w:rPr>
              <w:t>Suscriptores Premium (mes 12)</w:t>
            </w:r>
          </w:p>
        </w:tc>
        <w:tc>
          <w:tcPr>
            <w:tcW w:type="dxa" w:w="2304"/>
            <w:shd w:val="clear" w:color="auto" w:fill="1B7D4A"/>
          </w:tcPr>
          <w:p>
            <w:r/>
            <w:r>
              <w:rPr>
                <w:b/>
                <w:color w:val="FFFFFF"/>
                <w:sz w:val="20"/>
              </w:rPr>
              <w:t>Ingreso mensual (mes 12)</w:t>
            </w:r>
          </w:p>
        </w:tc>
        <w:tc>
          <w:tcPr>
            <w:tcW w:type="dxa" w:w="2304"/>
            <w:shd w:val="clear" w:color="auto" w:fill="1B7D4A"/>
          </w:tcPr>
          <w:p>
            <w:r/>
            <w:r>
              <w:rPr>
                <w:b/>
                <w:color w:val="FFFFFF"/>
                <w:sz w:val="20"/>
              </w:rPr>
              <w:t>Ingreso acumulado Año 1</w:t>
            </w:r>
          </w:p>
        </w:tc>
        <w:tc>
          <w:tcPr>
            <w:tcW w:type="dxa" w:w="2304"/>
            <w:shd w:val="clear" w:color="auto" w:fill="1B7D4A"/>
          </w:tcPr>
          <w:p>
            <w:r/>
            <w:r>
              <w:rPr>
                <w:b/>
                <w:color w:val="FFFFFF"/>
                <w:sz w:val="20"/>
              </w:rPr>
              <w:t>Ingreso acumulado Año 2</w:t>
            </w:r>
          </w:p>
        </w:tc>
      </w:tr>
      <w:tr>
        <w:tc>
          <w:tcPr>
            <w:tcW w:type="dxa" w:w="1872"/>
          </w:tcPr>
          <w:p>
            <w:r/>
            <w:r>
              <w:rPr>
                <w:sz w:val="20"/>
              </w:rPr>
              <w:t>Conservador</w:t>
            </w:r>
          </w:p>
        </w:tc>
        <w:tc>
          <w:tcPr>
            <w:tcW w:type="dxa" w:w="2448"/>
          </w:tcPr>
          <w:p>
            <w:r/>
            <w:r>
              <w:rPr>
                <w:sz w:val="20"/>
              </w:rPr>
              <w:t>3</w:t>
            </w:r>
          </w:p>
        </w:tc>
        <w:tc>
          <w:tcPr>
            <w:tcW w:type="dxa" w:w="2304"/>
          </w:tcPr>
          <w:p>
            <w:r/>
            <w:r>
              <w:rPr>
                <w:sz w:val="20"/>
              </w:rPr>
              <w:t>≈ $3.200 CLP (USD 3,5)</w:t>
            </w:r>
          </w:p>
        </w:tc>
        <w:tc>
          <w:tcPr>
            <w:tcW w:type="dxa" w:w="2304"/>
          </w:tcPr>
          <w:p>
            <w:r/>
            <w:r>
              <w:rPr>
                <w:sz w:val="20"/>
              </w:rPr>
              <w:t>≈ $19.000 CLP (USD 21)</w:t>
            </w:r>
          </w:p>
        </w:tc>
        <w:tc>
          <w:tcPr>
            <w:tcW w:type="dxa" w:w="2304"/>
          </w:tcPr>
          <w:p>
            <w:r/>
            <w:r>
              <w:rPr>
                <w:sz w:val="20"/>
              </w:rPr>
              <w:t>≈ $58.000 CLP (USD 63)</w:t>
            </w:r>
          </w:p>
        </w:tc>
      </w:tr>
      <w:tr>
        <w:tc>
          <w:tcPr>
            <w:tcW w:type="dxa" w:w="1872"/>
          </w:tcPr>
          <w:p>
            <w:r/>
            <w:r>
              <w:rPr>
                <w:sz w:val="20"/>
              </w:rPr>
              <w:t>Base</w:t>
            </w:r>
          </w:p>
        </w:tc>
        <w:tc>
          <w:tcPr>
            <w:tcW w:type="dxa" w:w="2448"/>
          </w:tcPr>
          <w:p>
            <w:r/>
            <w:r>
              <w:rPr>
                <w:sz w:val="20"/>
              </w:rPr>
              <w:t>40</w:t>
            </w:r>
          </w:p>
        </w:tc>
        <w:tc>
          <w:tcPr>
            <w:tcW w:type="dxa" w:w="2304"/>
          </w:tcPr>
          <w:p>
            <w:r/>
            <w:r>
              <w:rPr>
                <w:sz w:val="20"/>
              </w:rPr>
              <w:t>≈ $37.500 CLP (USD 40,5)</w:t>
            </w:r>
          </w:p>
        </w:tc>
        <w:tc>
          <w:tcPr>
            <w:tcW w:type="dxa" w:w="2304"/>
          </w:tcPr>
          <w:p>
            <w:r/>
            <w:r>
              <w:rPr>
                <w:sz w:val="20"/>
              </w:rPr>
              <w:t>≈ $225.000 CLP (USD 243)</w:t>
            </w:r>
          </w:p>
        </w:tc>
        <w:tc>
          <w:tcPr>
            <w:tcW w:type="dxa" w:w="2304"/>
          </w:tcPr>
          <w:p>
            <w:r/>
            <w:r>
              <w:rPr>
                <w:sz w:val="20"/>
              </w:rPr>
              <w:t>≈ $718.000 CLP (USD 776)</w:t>
            </w:r>
          </w:p>
        </w:tc>
      </w:tr>
      <w:tr>
        <w:tc>
          <w:tcPr>
            <w:tcW w:type="dxa" w:w="1872"/>
          </w:tcPr>
          <w:p>
            <w:r/>
            <w:r>
              <w:rPr>
                <w:sz w:val="20"/>
              </w:rPr>
              <w:t>Optimista</w:t>
            </w:r>
          </w:p>
        </w:tc>
        <w:tc>
          <w:tcPr>
            <w:tcW w:type="dxa" w:w="2448"/>
          </w:tcPr>
          <w:p>
            <w:r/>
            <w:r>
              <w:rPr>
                <w:sz w:val="20"/>
              </w:rPr>
              <w:t>250</w:t>
            </w:r>
          </w:p>
        </w:tc>
        <w:tc>
          <w:tcPr>
            <w:tcW w:type="dxa" w:w="2304"/>
          </w:tcPr>
          <w:p>
            <w:r/>
            <w:r>
              <w:rPr>
                <w:sz w:val="20"/>
              </w:rPr>
              <w:t>≈ $226.000 CLP (USD 244)</w:t>
            </w:r>
          </w:p>
        </w:tc>
        <w:tc>
          <w:tcPr>
            <w:tcW w:type="dxa" w:w="2304"/>
          </w:tcPr>
          <w:p>
            <w:r/>
            <w:r>
              <w:rPr>
                <w:sz w:val="20"/>
              </w:rPr>
              <w:t>≈ $1.355.000 CLP (USD 1.464)</w:t>
            </w:r>
          </w:p>
        </w:tc>
        <w:tc>
          <w:tcPr>
            <w:tcW w:type="dxa" w:w="2304"/>
          </w:tcPr>
          <w:p>
            <w:r/>
            <w:r>
              <w:rPr>
                <w:sz w:val="20"/>
              </w:rPr>
              <w:t>≈ $4.612.000 CLP (USD 4.986)</w:t>
            </w:r>
          </w:p>
        </w:tc>
      </w:tr>
    </w:tbl>
    <w:p>
      <w:pPr>
        <w:spacing w:after="80"/>
      </w:pPr>
    </w:p>
    <w:p>
      <w:pPr>
        <w:spacing w:after="160"/>
      </w:pPr>
      <w:r>
        <w:rPr>
          <w:b w:val="0"/>
          <w:i/>
          <w:color w:val="6B7280"/>
          <w:sz w:val="20"/>
        </w:rPr>
        <w:t>Los ingresos acumulados asumen una rampa lineal desde $0 hasta la cifra del mes 12/24 (aproximación razonable para una curva de crecimiento orgánico sin picos de marketing). El detalle de cálculo está disponible si se requiere para un pitch deck.</w:t>
      </w:r>
    </w:p>
    <w:p>
      <w:pPr>
        <w:spacing w:before="120" w:after="200"/>
      </w:pPr>
      <w:r>
        <w:rPr>
          <w:b/>
          <w:color w:val="DC2626"/>
        </w:rPr>
        <w:t xml:space="preserve">El hallazgo clave de esta sección:  </w:t>
      </w:r>
      <w:r>
        <w:rPr>
          <w:i/>
        </w:rPr>
        <w:t>Incluso en el escenario optimista, sin gasto en marketing, SENERGY genera del orden de USD 1.500 - 5.000 en sus primeros dos años. Es una cifra honesta que sirve para pagar cuentas de infraestructura y validar el producto — no un caso de negocio por sí solo para levantar capital de riesgo tradicional.</w:t>
      </w:r>
    </w:p>
    <w:p>
      <w:pPr>
        <w:pStyle w:val="Heading1"/>
      </w:pPr>
      <w:r>
        <w:rPr>
          <w:color w:val="1B7D4A"/>
          <w:sz w:val="32"/>
        </w:rPr>
        <w:t>7. Estructura de Costos Recurrentes</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color="auto" w:fill="1B7D4A"/>
          </w:tcPr>
          <w:p>
            <w:r/>
            <w:r>
              <w:rPr>
                <w:b/>
                <w:color w:val="FFFFFF"/>
                <w:sz w:val="20"/>
              </w:rPr>
              <w:t>Costo</w:t>
            </w:r>
          </w:p>
        </w:tc>
        <w:tc>
          <w:tcPr>
            <w:tcW w:type="dxa" w:w="2880"/>
            <w:shd w:val="clear" w:color="auto" w:fill="1B7D4A"/>
          </w:tcPr>
          <w:p>
            <w:r/>
            <w:r>
              <w:rPr>
                <w:b/>
                <w:color w:val="FFFFFF"/>
                <w:sz w:val="20"/>
              </w:rPr>
              <w:t>Monto aproximado</w:t>
            </w:r>
          </w:p>
        </w:tc>
        <w:tc>
          <w:tcPr>
            <w:tcW w:type="dxa" w:w="4176"/>
            <w:shd w:val="clear" w:color="auto" w:fill="1B7D4A"/>
          </w:tcPr>
          <w:p>
            <w:r/>
            <w:r>
              <w:rPr>
                <w:b/>
                <w:color w:val="FFFFFF"/>
                <w:sz w:val="20"/>
              </w:rPr>
              <w:t>Nota</w:t>
            </w:r>
          </w:p>
        </w:tc>
      </w:tr>
      <w:tr>
        <w:tc>
          <w:tcPr>
            <w:tcW w:type="dxa" w:w="3024"/>
          </w:tcPr>
          <w:p>
            <w:r/>
            <w:r>
              <w:rPr>
                <w:sz w:val="20"/>
              </w:rPr>
              <w:t>Cuenta Google Play Developer</w:t>
            </w:r>
          </w:p>
        </w:tc>
        <w:tc>
          <w:tcPr>
            <w:tcW w:type="dxa" w:w="2880"/>
          </w:tcPr>
          <w:p>
            <w:r/>
            <w:r>
              <w:rPr>
                <w:sz w:val="20"/>
              </w:rPr>
              <w:t>USD 25 (pago único)</w:t>
            </w:r>
          </w:p>
        </w:tc>
        <w:tc>
          <w:tcPr>
            <w:tcW w:type="dxa" w:w="4176"/>
          </w:tcPr>
          <w:p>
            <w:r/>
            <w:r>
              <w:rPr>
                <w:sz w:val="20"/>
              </w:rPr>
              <w:t>Obligatorio para publicar, ya identificado como bloqueante</w:t>
            </w:r>
          </w:p>
        </w:tc>
      </w:tr>
      <w:tr>
        <w:tc>
          <w:tcPr>
            <w:tcW w:type="dxa" w:w="3024"/>
          </w:tcPr>
          <w:p>
            <w:r/>
            <w:r>
              <w:rPr>
                <w:sz w:val="20"/>
              </w:rPr>
              <w:t>Cuenta Apple Developer</w:t>
            </w:r>
          </w:p>
        </w:tc>
        <w:tc>
          <w:tcPr>
            <w:tcW w:type="dxa" w:w="2880"/>
          </w:tcPr>
          <w:p>
            <w:r/>
            <w:r>
              <w:rPr>
                <w:sz w:val="20"/>
              </w:rPr>
              <w:t>USD 99 / año</w:t>
            </w:r>
          </w:p>
        </w:tc>
        <w:tc>
          <w:tcPr>
            <w:tcW w:type="dxa" w:w="4176"/>
          </w:tcPr>
          <w:p>
            <w:r/>
            <w:r>
              <w:rPr>
                <w:sz w:val="20"/>
              </w:rPr>
              <w:t>Solo si se lanza iOS — opcional en el corto plazo</w:t>
            </w:r>
          </w:p>
        </w:tc>
      </w:tr>
      <w:tr>
        <w:tc>
          <w:tcPr>
            <w:tcW w:type="dxa" w:w="3024"/>
          </w:tcPr>
          <w:p>
            <w:r/>
            <w:r>
              <w:rPr>
                <w:sz w:val="20"/>
              </w:rPr>
              <w:t>Firebase (Firestore/Auth/Storage)</w:t>
            </w:r>
          </w:p>
        </w:tc>
        <w:tc>
          <w:tcPr>
            <w:tcW w:type="dxa" w:w="2880"/>
          </w:tcPr>
          <w:p>
            <w:r/>
            <w:r>
              <w:rPr>
                <w:sz w:val="20"/>
              </w:rPr>
              <w:t>USD 0 - 50 / año a esta escala</w:t>
            </w:r>
          </w:p>
        </w:tc>
        <w:tc>
          <w:tcPr>
            <w:tcW w:type="dxa" w:w="4176"/>
          </w:tcPr>
          <w:p>
            <w:r/>
            <w:r>
              <w:rPr>
                <w:sz w:val="20"/>
              </w:rPr>
              <w:t>Dentro del tier gratuito hasta varios miles de MAU</w:t>
            </w:r>
          </w:p>
        </w:tc>
      </w:tr>
      <w:tr>
        <w:tc>
          <w:tcPr>
            <w:tcW w:type="dxa" w:w="3024"/>
          </w:tcPr>
          <w:p>
            <w:r/>
            <w:r>
              <w:rPr>
                <w:sz w:val="20"/>
              </w:rPr>
              <w:t>Cloudinary (fotos de medidores)</w:t>
            </w:r>
          </w:p>
        </w:tc>
        <w:tc>
          <w:tcPr>
            <w:tcW w:type="dxa" w:w="2880"/>
          </w:tcPr>
          <w:p>
            <w:r/>
            <w:r>
              <w:rPr>
                <w:sz w:val="20"/>
              </w:rPr>
              <w:t>USD 0 - 90 / año</w:t>
            </w:r>
          </w:p>
        </w:tc>
        <w:tc>
          <w:tcPr>
            <w:tcW w:type="dxa" w:w="4176"/>
          </w:tcPr>
          <w:p>
            <w:r/>
            <w:r>
              <w:rPr>
                <w:sz w:val="20"/>
              </w:rPr>
              <w:t>Tier gratuito puede no alcanzar si crece el uso de fotos</w:t>
            </w:r>
          </w:p>
        </w:tc>
      </w:tr>
      <w:tr>
        <w:tc>
          <w:tcPr>
            <w:tcW w:type="dxa" w:w="3024"/>
          </w:tcPr>
          <w:p>
            <w:r/>
            <w:r>
              <w:rPr>
                <w:sz w:val="20"/>
              </w:rPr>
              <w:t>EAS Build (Expo)</w:t>
            </w:r>
          </w:p>
        </w:tc>
        <w:tc>
          <w:tcPr>
            <w:tcW w:type="dxa" w:w="2880"/>
          </w:tcPr>
          <w:p>
            <w:r/>
            <w:r>
              <w:rPr>
                <w:sz w:val="20"/>
              </w:rPr>
              <w:t>USD 0 (ocasional) - 348 / año (plan Production)</w:t>
            </w:r>
          </w:p>
        </w:tc>
        <w:tc>
          <w:tcPr>
            <w:tcW w:type="dxa" w:w="4176"/>
          </w:tcPr>
          <w:p>
            <w:r/>
            <w:r>
              <w:rPr>
                <w:sz w:val="20"/>
              </w:rPr>
              <w:t>Solo necesario si se hacen builds frecuentes</w:t>
            </w:r>
          </w:p>
        </w:tc>
      </w:tr>
      <w:tr>
        <w:tc>
          <w:tcPr>
            <w:tcW w:type="dxa" w:w="3024"/>
          </w:tcPr>
          <w:p>
            <w:r/>
            <w:r>
              <w:rPr>
                <w:sz w:val="20"/>
              </w:rPr>
              <w:t>RevenueCat</w:t>
            </w:r>
          </w:p>
        </w:tc>
        <w:tc>
          <w:tcPr>
            <w:tcW w:type="dxa" w:w="2880"/>
          </w:tcPr>
          <w:p>
            <w:r/>
            <w:r>
              <w:rPr>
                <w:sz w:val="20"/>
              </w:rPr>
              <w:t>USD 0</w:t>
            </w:r>
          </w:p>
        </w:tc>
        <w:tc>
          <w:tcPr>
            <w:tcW w:type="dxa" w:w="4176"/>
          </w:tcPr>
          <w:p>
            <w:r/>
            <w:r>
              <w:rPr>
                <w:sz w:val="20"/>
              </w:rPr>
              <w:t>Gratis hasta USD 2.500/mes de ingreso transaccionado — muy por encima de cualquier escenario aquí</w:t>
            </w:r>
          </w:p>
        </w:tc>
      </w:tr>
    </w:tbl>
    <w:p>
      <w:pPr>
        <w:spacing w:after="80"/>
      </w:pPr>
    </w:p>
    <w:p>
      <w:pPr>
        <w:spacing w:after="160"/>
      </w:pPr>
      <w:r>
        <w:rPr>
          <w:b w:val="0"/>
          <w:i w:val="0"/>
          <w:sz w:val="22"/>
        </w:rPr>
        <w:t>Comparando esta tabla con la sección 6: en el escenario Conservador, los ingresos del Año 1 (~USD 21) ni siquiera cubren la cuenta de Apple Developer (USD 99/año) si se decide lanzar en iOS. En el escenario Base, los ingresos cubren los costos de infraestructura con margen modesto. Solo el escenario Optimista deja un excedente claro.</w:t>
      </w:r>
    </w:p>
    <w:p>
      <w:pPr>
        <w:pStyle w:val="Heading1"/>
      </w:pPr>
      <w:r>
        <w:rPr>
          <w:color w:val="1B7D4A"/>
          <w:sz w:val="32"/>
        </w:rPr>
        <w:t>8. ¿Es Rentable? ¿Es Financiable? — Análisis Honesto</w:t>
      </w:r>
    </w:p>
    <w:p>
      <w:pPr>
        <w:pStyle w:val="Heading2"/>
      </w:pPr>
      <w:r>
        <w:rPr>
          <w:color w:val="1B7D4A"/>
          <w:sz w:val="26"/>
        </w:rPr>
        <w:t>8.1 ¿Es rentable como negocio hoy?</w:t>
      </w:r>
    </w:p>
    <w:p>
      <w:pPr>
        <w:spacing w:after="160"/>
      </w:pPr>
      <w:r>
        <w:rPr>
          <w:b w:val="0"/>
          <w:i w:val="0"/>
          <w:sz w:val="22"/>
        </w:rPr>
        <w:t>Marginalmente, y solo en el escenario Base u Optimista. No es un negocio que genere un ingreso significativo para una persona ni retorno atractivo para un inversionista en su forma actual. La razón no es un defecto de ejecución — es estructural: (1) el mercado es un solo país de tamaño mediano, (2) el precio Premium es extremadamente bajo, (3) el eCPM regional es bajo, (4) la app es de baja frecuencia de uso (poco volumen de impresiones publicitarias), y (5) el competidor principal (la distribuidora) ya resuelve gratis buena parte del problema.</w:t>
      </w:r>
    </w:p>
    <w:p>
      <w:pPr>
        <w:pStyle w:val="Heading2"/>
      </w:pPr>
      <w:r>
        <w:rPr>
          <w:color w:val="1B7D4A"/>
          <w:sz w:val="26"/>
        </w:rPr>
        <w:t>8.2 ¿Es financiable por venture capital?</w:t>
      </w:r>
    </w:p>
    <w:p>
      <w:pPr>
        <w:spacing w:after="160"/>
      </w:pPr>
      <w:r>
        <w:rPr>
          <w:b w:val="0"/>
          <w:i w:val="0"/>
          <w:sz w:val="22"/>
        </w:rPr>
        <w:t>En su forma actual, no es un caso atractivo para un fondo de venture capital tradicional. Los VC buscan mercados grandes y en expansión, ventaja competitiva defendible, y unit economics donde el valor de vida del cliente (LTV) supere ampliamente el costo de adquisición (CAC). Aquí: LTV por usuario es de centavos de dólar al mes en promedio (mezclando gratis+pagados), mientras que cualquier canal de adquisición pagada en Chile (Meta/Google UAC) cuesta usualmente USD 0,30-1,00 por instalación. Los números no cierran a menos que cambien uno o más supuestos de fondo (ver recomendaciones).</w:t>
      </w:r>
    </w:p>
    <w:p>
      <w:pPr>
        <w:pStyle w:val="Heading2"/>
      </w:pPr>
      <w:r>
        <w:rPr>
          <w:color w:val="1B7D4A"/>
          <w:sz w:val="26"/>
        </w:rPr>
        <w:t>8.3 ¿Es financiable por otras vías?</w:t>
      </w:r>
    </w:p>
    <w:p>
      <w:pPr>
        <w:spacing w:after="160"/>
      </w:pPr>
      <w:r>
        <w:rPr>
          <w:b w:val="0"/>
          <w:i w:val="0"/>
          <w:sz w:val="22"/>
        </w:rPr>
        <w:t>Sí, y esta es la recomendación concreta más accionable de este informe:</w:t>
      </w:r>
    </w:p>
    <w:p>
      <w:pPr>
        <w:pStyle w:val="ListBullet"/>
      </w:pPr>
      <w:r>
        <w:rPr>
          <w:b/>
        </w:rPr>
        <w:t xml:space="preserve">Start-Up Chile — programa Seed, track "Build": </w:t>
      </w:r>
      <w:r>
        <w:t>Financiamiento no dilutivo (100% del equity para el fundador), diseñado exactamente para el estado actual de SENERGY: idea validada con prototipo funcionando. La convocatoria 2026 (generación BIG, track "Build") entrega hasta $15.000.000 CLP (≈ USD 16.000) sin ceder participación accionaria, a cambio de 4 meses de aceleración.</w:t>
      </w:r>
    </w:p>
    <w:p>
      <w:pPr>
        <w:pStyle w:val="ListBullet"/>
      </w:pPr>
      <w:r>
        <w:rPr>
          <w:b/>
        </w:rPr>
        <w:t xml:space="preserve">CORFO / fondos de impacto social-energético: </w:t>
      </w:r>
      <w:r>
        <w:t>Dado que las tarifas más altas del país están en zonas rurales con cooperativas eléctricas (ej. LuzParral a $307 CLP/kWh, casi el doble que la Región Metropolitana), existe un ángulo genuino de impacto social — ayudar a hogares vulnerables a monitorear y reducir gasto en electricidad — que puede calzar con fondos CORFO de innovación social o eficiencia energética, o alianzas con el propio Ministerio de Energía (que ya financia 3 apps educativas gratuitas sobre energía).</w:t>
      </w:r>
    </w:p>
    <w:p>
      <w:pPr>
        <w:pStyle w:val="ListBullet"/>
      </w:pPr>
      <w:r>
        <w:rPr>
          <w:b/>
        </w:rPr>
        <w:t xml:space="preserve">Pre-seed informal: </w:t>
      </w:r>
      <w:r>
        <w:t>Family &amp; friends o un ángel individual para financiar 6-12 meses de desarrollo part-time, apostando a validar tracción antes de buscar una ronda formal.</w:t>
      </w:r>
    </w:p>
    <w:p>
      <w:pPr>
        <w:pStyle w:val="Heading1"/>
      </w:pPr>
      <w:r>
        <w:rPr>
          <w:color w:val="1B7D4A"/>
          <w:sz w:val="32"/>
        </w:rPr>
        <w:t>9. Recomendaciones Estratégicas para Aumentar la Fondeabilidad</w:t>
      </w:r>
    </w:p>
    <w:p>
      <w:pPr>
        <w:spacing w:after="160"/>
      </w:pPr>
      <w:r>
        <w:rPr>
          <w:b w:val="0"/>
          <w:i w:val="0"/>
          <w:sz w:val="22"/>
        </w:rPr>
        <w:t>Para que SENERGY deje de ser "una app útil" y pase a ser "un caso de inversión", el producto necesita uno o más de estos cambios de fondo:</w:t>
      </w:r>
    </w:p>
    <w:p>
      <w:pPr>
        <w:pStyle w:val="ListBullet"/>
      </w:pPr>
      <w:r>
        <w:rPr>
          <w:b/>
        </w:rPr>
        <w:t xml:space="preserve">1. Subir el precio Premium y fortalecer el beneficio exclusivo. </w:t>
      </w:r>
      <w:r>
        <w:t>El precio actual (~USD 1) es demasiado bajo para que la suscripción importe en la cuenta de resultados. Evaluar un precio más cercano a USD 2-3/mes con más beneficios reales (exportación avanzada, comparador de tarifas, alertas por SMS/WhatsApp, multi-usuario para el mismo hogar).</w:t>
      </w:r>
    </w:p>
    <w:p>
      <w:pPr>
        <w:pStyle w:val="ListBullet"/>
      </w:pPr>
      <w:r>
        <w:rPr>
          <w:b/>
        </w:rPr>
        <w:t xml:space="preserve">2. Expandir a más países de habla hispana. </w:t>
      </w:r>
      <w:r>
        <w:t>Chile por sí solo limita el TAM a ~7,5M hogares. Extender el catálogo de tarifas a México, Colombia, Perú y Argentina multiplica el TAM por 10-15x con el mismo producto, mismo costo marginal de desarrollo (es, en esencia, una tabla de tarifas más).</w:t>
      </w:r>
    </w:p>
    <w:p>
      <w:pPr>
        <w:pStyle w:val="ListBullet"/>
      </w:pPr>
      <w:r>
        <w:rPr>
          <w:b/>
        </w:rPr>
        <w:t xml:space="preserve">3. Automatizar la captura de lecturas (OCR). </w:t>
      </w:r>
      <w:r>
        <w:t>La app hoy no compite con las distribuidoras — depende de que el usuario haga manualmente lo que ellas ya hacen gratis. Agregar lectura automática del medidor por foto (OCR/visión computacional) eliminaría la fricción de entrada de datos, que es hoy el principal punto de abandono, y sería una ventaja tecnológica real y defendible.</w:t>
      </w:r>
    </w:p>
    <w:p>
      <w:pPr>
        <w:pStyle w:val="ListBullet"/>
      </w:pPr>
      <w:r>
        <w:rPr>
          <w:b/>
        </w:rPr>
        <w:t xml:space="preserve">4. Pivotar el ángulo de venta hacia multi-propiedad / arrendadores. </w:t>
      </w:r>
      <w:r>
        <w:t>El único segmento donde "un solo lugar para todos mis medidores" es un dolor real (no resuelto por ninguna distribuidora individual) es quien administra múltiples propiedades: arrendadores, administradores de edificios, Airbnb hosts. Ese segmento tiene mayor disposición a pagar y es más fácil de alcanzar (grupos de Facebook, corredoras, asociaciones de arrendadores) que el consumidor masivo.</w:t>
      </w:r>
    </w:p>
    <w:p>
      <w:pPr>
        <w:pStyle w:val="ListBullet"/>
      </w:pPr>
      <w:r>
        <w:rPr>
          <w:b/>
        </w:rPr>
        <w:t xml:space="preserve">5. Explorar alianzas con las propias distribuidoras o el Ministerio de Energía. </w:t>
      </w:r>
      <w:r>
        <w:t>En vez de competir contra Enel/CGE, ofrecerles el aplicativo de "aporte de lectura" y presupuesto como white-label, o vender datos agregados y anonimizados de consumo/incidencias a nivel de barrio — un modelo B2B2C con ingresos mucho más predecibles que anuncios y microsuscripciones.</w:t>
      </w:r>
    </w:p>
    <w:p>
      <w:pPr>
        <w:pStyle w:val="Heading1"/>
      </w:pPr>
      <w:r>
        <w:rPr>
          <w:color w:val="1B7D4A"/>
          <w:sz w:val="32"/>
        </w:rPr>
        <w:t>10. Riesgos Clave</w:t>
      </w:r>
    </w:p>
    <w:p>
      <w:pPr>
        <w:pStyle w:val="ListBullet"/>
      </w:pPr>
      <w:r>
        <w:rPr>
          <w:b/>
        </w:rPr>
        <w:t xml:space="preserve">Riesgo competitivo: </w:t>
      </w:r>
      <w:r>
        <w:t>Depende de dos apps oficiales gratuitas (Enel, CGE) que pueden mejorar sus propias funciones de presupuesto/alertas en cualquier momento, eliminando la diferenciación restante.</w:t>
      </w:r>
    </w:p>
    <w:p>
      <w:pPr>
        <w:pStyle w:val="ListBullet"/>
      </w:pPr>
      <w:r>
        <w:rPr>
          <w:b/>
        </w:rPr>
        <w:t xml:space="preserve">Riesgo regulatorio/tecnológico: </w:t>
      </w:r>
      <w:r>
        <w:t>El recambio de medidores inteligentes, aunque lento, reduce estructuralmente la necesidad de anotar lecturas a mano en el mediano-largo plazo.</w:t>
      </w:r>
    </w:p>
    <w:p>
      <w:pPr>
        <w:pStyle w:val="ListBullet"/>
      </w:pPr>
      <w:r>
        <w:rPr>
          <w:b/>
        </w:rPr>
        <w:t xml:space="preserve">Riesgo de monetización: </w:t>
      </w:r>
      <w:r>
        <w:t>Bajo eCPM regional + baja frecuencia de uso significa que escalar usuarios gratis no genera ingresos proporcionales — cualquier estrategia de crecimiento debe apuntar a conversión Premium, no a volumen de impresiones.</w:t>
      </w:r>
    </w:p>
    <w:p>
      <w:pPr>
        <w:pStyle w:val="ListBullet"/>
      </w:pPr>
      <w:r>
        <w:rPr>
          <w:b/>
        </w:rPr>
        <w:t xml:space="preserve">Riesgo de adquisición: </w:t>
      </w:r>
      <w:r>
        <w:t>Sin presupuesto de marketing, el crecimiento depende de ASO/boca a boca, que es lento e impredecible; competir por instalaciones contra apps oficiales preinstaladas o promovidas por la distribuidora es cuesta arriba.</w:t>
      </w:r>
    </w:p>
    <w:p>
      <w:pPr>
        <w:pStyle w:val="ListBullet"/>
      </w:pPr>
      <w:r>
        <w:rPr>
          <w:b/>
        </w:rPr>
        <w:t xml:space="preserve">Riesgo operacional: </w:t>
      </w:r>
      <w:r>
        <w:t>Un solo desarrollador manteniendo infraestructura (Firebase, Cloudinary, Cloud Functions, EAS) — sin un plan de contingencia si el volumen crece más rápido que la capacidad de mantenimiento.</w:t>
      </w:r>
    </w:p>
    <w:p>
      <w:pPr>
        <w:pStyle w:val="Heading1"/>
      </w:pPr>
      <w:r>
        <w:rPr>
          <w:color w:val="1B7D4A"/>
          <w:sz w:val="32"/>
        </w:rPr>
        <w:t>11. Conclusión Final</w:t>
      </w:r>
    </w:p>
    <w:p>
      <w:pPr>
        <w:spacing w:after="160"/>
      </w:pPr>
      <w:r>
        <w:rPr>
          <w:b w:val="0"/>
          <w:i w:val="0"/>
          <w:sz w:val="22"/>
        </w:rPr>
        <w:t>SENERGY es un producto bien construido técnicamente, que resuelve un problema real y cuantificable (el gasto eléctrico en Chile está subiendo, y las herramientas actuales para gestionarlo son fragmentadas por distribuidora). Pero "resolver un problema real" y "ser un caso de inversión atractivo" son cosas distintas. Hoy, el techo de ingresos en Chile-only / solo-ads-y-microsuscripción es bajo — del orden de cientos a pocos miles de dólares al año en los primeros 24 meses sin inversión en adquisición. Eso no es un fracaso: es información valiosa para decidir el siguiente paso con los ojos abiertos.</w:t>
      </w:r>
    </w:p>
    <w:p>
      <w:pPr>
        <w:spacing w:before="120" w:after="200"/>
      </w:pPr>
      <w:r>
        <w:rPr>
          <w:b/>
          <w:color w:val="1B7D4A"/>
        </w:rPr>
        <w:t xml:space="preserve">Recomendación concreta:  </w:t>
      </w:r>
      <w:r>
        <w:rPr>
          <w:i/>
        </w:rPr>
        <w:t>No buscar una ronda de venture capital tradicional todavía. Postular a Start-Up Chile (track Build, ~USD 16.000 no dilutivo) para financiar 4 meses de desarrollo enfocados en 1-2 de las palancas de la sección 9 (probablemente: expansión a un segundo país + subir el precio Premium), y usar ese período para generar métricas reales de retención y conversión. Con esos datos, recién ahí evaluar si el caso para una ronda de inversión formal se sostiene.</w:t>
      </w:r>
    </w:p>
    <w:p>
      <w:pPr>
        <w:spacing w:after="160"/>
      </w:pPr>
      <w:r>
        <w:rPr>
          <w:b w:val="0"/>
          <w:i w:val="0"/>
          <w:sz w:val="22"/>
        </w:rPr>
      </w:r>
    </w:p>
    <w:p>
      <w:pPr>
        <w:spacing w:after="160"/>
      </w:pPr>
      <w:r>
        <w:rPr>
          <w:b/>
          <w:i w:val="0"/>
          <w:sz w:val="20"/>
        </w:rPr>
        <w:t>Fuentes principales consultadas</w:t>
      </w:r>
    </w:p>
    <w:p>
      <w:pPr>
        <w:pStyle w:val="ListBullet"/>
      </w:pPr>
      <w:r>
        <w:rPr>
          <w:color w:val="6B7280"/>
          <w:sz w:val="19"/>
        </w:rPr>
        <w:t>Comisión Nacional de Energía (CNE) — cne.cl, estadísticas y clientes regulados</w:t>
      </w:r>
    </w:p>
    <w:p>
      <w:pPr>
        <w:pStyle w:val="ListBullet"/>
      </w:pPr>
      <w:r>
        <w:rPr>
          <w:color w:val="6B7280"/>
          <w:sz w:val="19"/>
        </w:rPr>
        <w:t>Biblioteca del Congreso Nacional (BCN) — resultados financieros distribución eléctrica</w:t>
      </w:r>
    </w:p>
    <w:p>
      <w:pPr>
        <w:pStyle w:val="ListBullet"/>
      </w:pPr>
      <w:r>
        <w:rPr>
          <w:color w:val="6B7280"/>
          <w:sz w:val="19"/>
        </w:rPr>
        <w:t>Ministerio de Energía de Chile — energia.gob.cl, medidores inteligentes y apps educativas</w:t>
      </w:r>
    </w:p>
    <w:p>
      <w:pPr>
        <w:pStyle w:val="ListBullet"/>
      </w:pPr>
      <w:r>
        <w:rPr>
          <w:color w:val="6B7280"/>
          <w:sz w:val="19"/>
        </w:rPr>
        <w:t>Enel Chile / CGE — apps oficiales de clientes (Google Play / App Store / sitios corporativos)</w:t>
      </w:r>
    </w:p>
    <w:p>
      <w:pPr>
        <w:pStyle w:val="ListBullet"/>
      </w:pPr>
      <w:r>
        <w:rPr>
          <w:color w:val="6B7280"/>
          <w:sz w:val="19"/>
        </w:rPr>
        <w:t>DataReportal "Digital 2026: Chile"; estudios de penetración móvil (BYYD, Magma Translation)</w:t>
      </w:r>
    </w:p>
    <w:p>
      <w:pPr>
        <w:pStyle w:val="ListBullet"/>
      </w:pPr>
      <w:r>
        <w:rPr>
          <w:color w:val="6B7280"/>
          <w:sz w:val="19"/>
        </w:rPr>
        <w:t>Benchmarks de industria de monetización móvil 2026 (Playwire, MonetizeMore, AdPumb, Statista) para eCPM y conversión freemium</w:t>
      </w:r>
    </w:p>
    <w:p>
      <w:pPr>
        <w:pStyle w:val="ListBullet"/>
      </w:pPr>
      <w:r>
        <w:rPr>
          <w:color w:val="6B7280"/>
          <w:sz w:val="19"/>
        </w:rPr>
        <w:t>Start-Up Chile — convocatoria Seed / generación BIG 2026, montos de financiamiento equity-free</w:t>
      </w:r>
    </w:p>
    <w:p>
      <w:pPr>
        <w:pStyle w:val="ListBullet"/>
      </w:pPr>
      <w:r>
        <w:rPr>
          <w:color w:val="6B7280"/>
          <w:sz w:val="19"/>
        </w:rPr>
        <w:t>Calc.cl / Cuantomecuesta.com — estimaciones de cuenta eléctrica promedio en Chile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