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B7D4A"/>
          <w:sz w:val="80"/>
        </w:rPr>
        <w:t>SENERGY</w:t>
      </w:r>
    </w:p>
    <w:p>
      <w:pPr>
        <w:spacing w:after="600"/>
        <w:jc w:val="center"/>
      </w:pPr>
      <w:r>
        <w:rPr>
          <w:color w:val="1F2937"/>
          <w:sz w:val="40"/>
        </w:rPr>
        <w:t>Análisis de Mercado, Estado del Arte</w:t>
        <w:br/>
        <w:t>y Viabilidad de Financiamiento</w:t>
      </w:r>
    </w:p>
    <w:p>
      <w:pPr>
        <w:jc w:val="center"/>
      </w:pPr>
      <w:r>
        <w:rPr>
          <w:i/>
          <w:color w:val="6B7280"/>
          <w:sz w:val="21"/>
        </w:rPr>
        <w:t>Julio 2026  |  Preparado a partir del código fuente de la app y datos públicos de mercado (CNE, Ministerio de Energía, Start-Up Chile, benchmarks de la industria de apps móviles)</w:t>
      </w:r>
    </w:p>
    <w:p>
      <w:r>
        <w:br w:type="page"/>
      </w:r>
    </w:p>
    <w:p>
      <w:pPr>
        <w:pStyle w:val="Heading1"/>
      </w:pPr>
      <w:r>
        <w:rPr>
          <w:color w:val="1B7D4A"/>
          <w:sz w:val="32"/>
        </w:rPr>
        <w:t>1. Resumen Ejecutivo</w:t>
      </w:r>
    </w:p>
    <w:p>
      <w:pPr>
        <w:spacing w:after="160"/>
      </w:pPr>
      <w:r>
        <w:rPr>
          <w:b w:val="0"/>
          <w:i w:val="0"/>
          <w:sz w:val="22"/>
        </w:rPr>
        <w:t>SENERGY es una app móvil (Android, Expo/React Native) para registrar manualmente lecturas del medidor eléctrico, calcular consumo y costo según la tarifa vigente de la distribuidora regional, presupuestar gasto mensual, recibir alertas e insights automáticos, y llevar un historial personal de incidentes (cortes, baja/sobre tensión). Se monetiza con anuncios (AdMob) para el plan gratuito y una suscripción Premium de $1.000 CLP/mes que los elimina.</w:t>
      </w:r>
    </w:p>
    <w:p>
      <w:pPr>
        <w:spacing w:before="120" w:after="200"/>
      </w:pPr>
      <w:r>
        <w:rPr>
          <w:b/>
          <w:color w:val="DC2626"/>
        </w:rPr>
        <w:t xml:space="preserve">Conclusión directa:  </w:t>
      </w:r>
      <w:r>
        <w:rPr>
          <w:i/>
        </w:rPr>
        <w:t>SENERGY sí tiene diferenciación real frente a las apps oficiales gratuitas de Enel/CGE: visibilidad de gasto bajo demanda (no atada al ciclo de facturación mensual) y evidencia fotográfica propia para disputar cobros — verificado directamente en el código (sección 3.2). El problema no es de producto, es que hoy esa ventaja no se comunica ni se monetiza: la foto de respaldo, el diferenciador más fuerte, es gratis para el 100% de los usuarios. Con la app y el mercado tal como están hoy (solo Android, solo Chile, sin presupuesto de marketing), los ingresos siguen siendo modestos y no alcanzan para una ronda de capital de riesgo tradicional — pero sí es un candidato sólido para financiamiento no dilutivo (Start-Up Chile), y con el reposicionamiento correcto (sección 9) el techo de ingresos sube de forma significativa (sección 6).</w:t>
      </w:r>
    </w:p>
    <w:p>
      <w:pPr>
        <w:spacing w:after="160"/>
      </w:pPr>
      <w:r>
        <w:rPr>
          <w:b w:val="0"/>
          <w:i w:val="0"/>
          <w:sz w:val="22"/>
        </w:rPr>
        <w:t>Este documento cubre: qué existe hoy en el mercado chileno para este problema (estado del arte), tamaño real de mercado (TAM/SAM/SOM), proyecciones financieras con supuestos explícitos en 3 escenarios, estructura de costos, y una recomendación honesta sobre rentabilidad y financiamiento.</w:t>
      </w:r>
    </w:p>
    <w:p>
      <w:pPr>
        <w:pStyle w:val="Heading1"/>
      </w:pPr>
      <w:r>
        <w:rPr>
          <w:color w:val="1B7D4A"/>
          <w:sz w:val="32"/>
        </w:rPr>
        <w:t>2. ¿Qué es SENERGY hoy? (según el código fuente)</w:t>
      </w:r>
    </w:p>
    <w:p>
      <w:pPr>
        <w:spacing w:after="160"/>
      </w:pPr>
      <w:r>
        <w:rPr>
          <w:b w:val="0"/>
          <w:i w:val="0"/>
          <w:sz w:val="22"/>
        </w:rPr>
        <w:t>Es importante partir de lo que la app efectivamente hace, no de lo que podría hacer:</w:t>
      </w:r>
    </w:p>
    <w:p>
      <w:pPr>
        <w:pStyle w:val="ListBullet"/>
      </w:pPr>
      <w:r>
        <w:rPr>
          <w:b/>
        </w:rPr>
        <w:t xml:space="preserve">Entrada de datos: </w:t>
      </w:r>
      <w:r>
        <w:t>Registro manual de lecturas del medidor, con foto de respaldo (sin OCR ni lectura automática — el usuario escribe el número).</w:t>
      </w:r>
    </w:p>
    <w:p>
      <w:pPr>
        <w:pStyle w:val="ListBullet"/>
      </w:pPr>
      <w:r>
        <w:rPr>
          <w:b/>
        </w:rPr>
        <w:t xml:space="preserve">Cálculo de costo: </w:t>
      </w:r>
      <w:r>
        <w:t>Base de datos interna de tarifas BT1 residenciales por región y distribuidora (Enel, CGE, Saesa, Chilquinta, cooperativas rurales, etc.) para calcular costo en pesos a partir del consumo en kWh.</w:t>
      </w:r>
    </w:p>
    <w:p>
      <w:pPr>
        <w:pStyle w:val="ListBullet"/>
      </w:pPr>
      <w:r>
        <w:rPr>
          <w:b/>
        </w:rPr>
        <w:t xml:space="preserve">Estadísticas: </w:t>
      </w:r>
      <w:r>
        <w:t>Múltiples medidores por usuario (útil para quien arrienda propiedades o tiene más de una vivienda), gráficos de consumo, comparación entre períodos, proyección de gasto mensual.</w:t>
      </w:r>
    </w:p>
    <w:p>
      <w:pPr>
        <w:pStyle w:val="ListBullet"/>
      </w:pPr>
      <w:r>
        <w:rPr>
          <w:b/>
        </w:rPr>
        <w:t xml:space="preserve">Insights automáticos: </w:t>
      </w:r>
      <w:r>
        <w:t>Reglas simples que detectan aumentos de consumo, proyectan si se supera el presupuesto mensual, y detectan picos.</w:t>
      </w:r>
    </w:p>
    <w:p>
      <w:pPr>
        <w:pStyle w:val="ListBullet"/>
      </w:pPr>
      <w:r>
        <w:rPr>
          <w:b/>
        </w:rPr>
        <w:t xml:space="preserve">Incidencias: </w:t>
      </w:r>
      <w:r>
        <w:t>Registro personal de cortes de luz, baja/sobre tensión (privado, no es un mapa comunitario/crowdsourced de cortes).</w:t>
      </w:r>
    </w:p>
    <w:p>
      <w:pPr>
        <w:pStyle w:val="ListBullet"/>
      </w:pPr>
      <w:r>
        <w:rPr>
          <w:b/>
        </w:rPr>
        <w:t xml:space="preserve">Monetización: </w:t>
      </w:r>
      <w:r>
        <w:t>Plan gratuito con anuncios (AdMob) + Plan Premium $1.000 CLP/mes sin anuncios, vía RevenueCat/Google Play Billing.</w:t>
      </w:r>
    </w:p>
    <w:p>
      <w:pPr>
        <w:spacing w:after="160"/>
      </w:pPr>
      <w:r>
        <w:rPr>
          <w:b w:val="0"/>
          <w:i/>
          <w:color w:val="6B7280"/>
          <w:sz w:val="22"/>
        </w:rPr>
        <w:t>No incluye actualmente: integración con medidores inteligentes o APIs de las distribuidoras, lectura automática de fotos (OCR/IA), comparador de tarifas para cambiarse de distribuidora, ni ninguna función comunitaria o de red entre usuarios.</w:t>
      </w:r>
    </w:p>
    <w:p>
      <w:pPr>
        <w:pStyle w:val="Heading1"/>
      </w:pPr>
      <w:r>
        <w:rPr>
          <w:color w:val="1B7D4A"/>
          <w:sz w:val="32"/>
        </w:rPr>
        <w:t>3. Estado del Arte / Panorama Competitivo</w:t>
      </w:r>
    </w:p>
    <w:p>
      <w:pPr>
        <w:pStyle w:val="Heading2"/>
      </w:pPr>
      <w:r>
        <w:rPr>
          <w:color w:val="1B7D4A"/>
          <w:sz w:val="26"/>
        </w:rPr>
        <w:t>3.1 Las distribuidoras ya ofrecen gran parte de esto gratis</w:t>
      </w:r>
    </w:p>
    <w:p>
      <w:pPr>
        <w:spacing w:after="160"/>
      </w:pPr>
      <w:r>
        <w:rPr>
          <w:b w:val="0"/>
          <w:i w:val="0"/>
          <w:sz w:val="22"/>
        </w:rPr>
        <w:t>Este es el hallazgo más importante del estudio. Enel y CGE — que juntas cubren la gran mayoría de los clientes regulados del país — ya operan apps oficiales gratuitas con funciones que se solapan directamente con el núcleo de SENERGY:</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B7D4A"/>
          </w:tcPr>
          <w:p>
            <w:r/>
            <w:r>
              <w:rPr>
                <w:b/>
                <w:color w:val="FFFFFF"/>
                <w:sz w:val="20"/>
              </w:rPr>
              <w:t>App oficial</w:t>
            </w:r>
          </w:p>
        </w:tc>
        <w:tc>
          <w:tcPr>
            <w:tcW w:type="dxa" w:w="2304"/>
            <w:shd w:val="clear" w:color="auto" w:fill="1B7D4A"/>
          </w:tcPr>
          <w:p>
            <w:r/>
            <w:r>
              <w:rPr>
                <w:b/>
                <w:color w:val="FFFFFF"/>
                <w:sz w:val="20"/>
              </w:rPr>
              <w:t>Cobertura</w:t>
            </w:r>
          </w:p>
        </w:tc>
        <w:tc>
          <w:tcPr>
            <w:tcW w:type="dxa" w:w="4752"/>
            <w:shd w:val="clear" w:color="auto" w:fill="1B7D4A"/>
          </w:tcPr>
          <w:p>
            <w:r/>
            <w:r>
              <w:rPr>
                <w:b/>
                <w:color w:val="FFFFFF"/>
                <w:sz w:val="20"/>
              </w:rPr>
              <w:t>Funciones relevantes (gratis)</w:t>
            </w:r>
          </w:p>
        </w:tc>
      </w:tr>
      <w:tr>
        <w:tc>
          <w:tcPr>
            <w:tcW w:type="dxa" w:w="2304"/>
          </w:tcPr>
          <w:p>
            <w:r/>
            <w:r>
              <w:rPr>
                <w:sz w:val="20"/>
              </w:rPr>
              <w:t>Enel Clientes Chile / Mi Enel</w:t>
            </w:r>
          </w:p>
        </w:tc>
        <w:tc>
          <w:tcPr>
            <w:tcW w:type="dxa" w:w="2304"/>
          </w:tcPr>
          <w:p>
            <w:r/>
            <w:r>
              <w:rPr>
                <w:sz w:val="20"/>
              </w:rPr>
              <w:t>Región Metropolitana y otras zonas Enel</w:t>
            </w:r>
          </w:p>
        </w:tc>
        <w:tc>
          <w:tcPr>
            <w:tcW w:type="dxa" w:w="4752"/>
          </w:tcPr>
          <w:p>
            <w:r/>
            <w:r>
              <w:rPr>
                <w:sz w:val="20"/>
              </w:rPr>
              <w:t>Historial de consumo mes a mes, boletas, gráfico de últimos 6 períodos en la boleta, y (con medidor inteligente) consumo por hora/día/semana/mes con recomendaciones de eficiencia</w:t>
            </w:r>
          </w:p>
        </w:tc>
      </w:tr>
      <w:tr>
        <w:tc>
          <w:tcPr>
            <w:tcW w:type="dxa" w:w="2304"/>
          </w:tcPr>
          <w:p>
            <w:r/>
            <w:r>
              <w:rPr>
                <w:sz w:val="20"/>
              </w:rPr>
              <w:t>CGE 1Click / Sucursal Virtual</w:t>
            </w:r>
          </w:p>
        </w:tc>
        <w:tc>
          <w:tcPr>
            <w:tcW w:type="dxa" w:w="2304"/>
          </w:tcPr>
          <w:p>
            <w:r/>
            <w:r>
              <w:rPr>
                <w:sz w:val="20"/>
              </w:rPr>
              <w:t>Gran parte de las regiones (CGE Distribución)</w:t>
            </w:r>
          </w:p>
        </w:tc>
        <w:tc>
          <w:tcPr>
            <w:tcW w:type="dxa" w:w="4752"/>
          </w:tcPr>
          <w:p>
            <w:r/>
            <w:r>
              <w:rPr>
                <w:sz w:val="20"/>
              </w:rPr>
              <w:t>Pago de cuenta, consumo de últimos 3/6/12 meses, aviso de cortes programados, reporte de emergencias, y "Aporte de Lectura" (el cliente informa su propia lectura, igual que SENERGY)</w:t>
            </w:r>
          </w:p>
        </w:tc>
      </w:tr>
    </w:tbl>
    <w:p>
      <w:pPr>
        <w:spacing w:after="80"/>
      </w:pPr>
    </w:p>
    <w:p>
      <w:pPr>
        <w:spacing w:after="160"/>
      </w:pPr>
      <w:r>
        <w:rPr>
          <w:b w:val="0"/>
          <w:i w:val="0"/>
          <w:sz w:val="22"/>
        </w:rPr>
        <w:t>En otras palabras: el reporte agregado mensual que las distribuidoras ya muestran gratis no es donde SENERGY debe competir. La sección siguiente identifica, verificado directamente en el código de la app, dónde sí hay ventaja real.</w:t>
      </w:r>
    </w:p>
    <w:p>
      <w:pPr>
        <w:pStyle w:val="Heading2"/>
      </w:pPr>
      <w:r>
        <w:rPr>
          <w:color w:val="1B7D4A"/>
          <w:sz w:val="26"/>
        </w:rPr>
        <w:t>3.2 Dónde SENERGY es genuinamente mejor (verificado en el código, no en el marketing)</w:t>
      </w:r>
    </w:p>
    <w:p>
      <w:pPr>
        <w:spacing w:after="160"/>
      </w:pPr>
      <w:r>
        <w:rPr>
          <w:b w:val="0"/>
          <w:i w:val="0"/>
          <w:sz w:val="22"/>
        </w:rPr>
        <w:t>Revisando el código fuente se confirman dos diferenciadores concretos, no cosméticos, frente a Enel/CGE:</w:t>
      </w:r>
    </w:p>
    <w:p>
      <w:pPr>
        <w:pStyle w:val="ListBullet"/>
      </w:pPr>
      <w:r>
        <w:rPr>
          <w:b/>
        </w:rPr>
        <w:t xml:space="preserve">1. Visibilidad bajo demanda, no atada al ciclo de facturación. </w:t>
      </w:r>
      <w:r>
        <w:t>Enel y CGE muestran consumo agregado por ciclo de facturación: una vez al mes, en retrospectiva. SENERGY deja que el usuario tome lecturas con la frecuencia que quiera (cada pocos días, semanalmente) y recalcula consumo, costo y una proyección de gasto mensual cada vez (utils/statsHelpers.js — projectMonthlyConsumption, useInsights.js). Esto le da al usuario una respuesta a "¿cuánto llevo gastado esta semana / hoy, aproximadamente?" en cualquier momento — algo que ninguna app de distribuidora resuelve hoy para los clientes que todavía no tienen medidor inteligente (la mayoría del país; ver 3.4).</w:t>
      </w:r>
    </w:p>
    <w:p>
      <w:pPr>
        <w:pStyle w:val="ListBullet"/>
      </w:pPr>
      <w:r>
        <w:rPr>
          <w:b/>
        </w:rPr>
        <w:t xml:space="preserve">2. Evidencia fotográfica propia para disputar cobros. </w:t>
      </w:r>
      <w:r>
        <w:t>Cada lectura puede guardar una foto del medidor con fecha, almacenada en la cuenta del propio usuario (Cloudinary vía Cloud Functions) — no en los sistemas de la distribuidora. El propio flujo de captura de la app lo dice explícitamente al usuario: "Tener evidencia visual de tu lectura" y "Resolver dudas futuras sobre consumos" (screens/NewReadingScreen.js). Frente a una boleta estimada o un cobro que no cuadra —un problema real y recurrente en Chile, incluso mencionado en la cobertura de prensa sobre medidores inteligentes— el usuario tiene su propio respaldo con fecha, independiente de lo que diga la distribuidora. La función "Aporte de Lectura" de CGE, por comparación, es solo un campo numérico: no guarda una foto propia del cliente como evidencia.</w:t>
      </w:r>
    </w:p>
    <w:p>
      <w:pPr>
        <w:spacing w:before="120" w:after="200"/>
      </w:pPr>
      <w:r>
        <w:rPr>
          <w:b/>
          <w:color w:val="DC2626"/>
        </w:rPr>
        <w:t xml:space="preserve">Detalle importante para la estrategia de monetización:  </w:t>
      </w:r>
      <w:r>
        <w:rPr>
          <w:i/>
        </w:rPr>
        <w:t>Hoy la captura de fotos está disponible gratis para el 100% de los usuarios — el código de paywall en NewReadingScreen.js referencia "solo Premium", pero subscriptionService.js ya la habilita para todos ("con el nuevo modelo, todos los usuarios pueden tomar fotos"). Es decir: la ventaja competitiva verificable más fuerte del producto hoy no se está usando como palanca de conversión a Premium. Ver recomendación en la sección 9.</w:t>
      </w:r>
    </w:p>
    <w:p>
      <w:pPr>
        <w:pStyle w:val="Heading2"/>
      </w:pPr>
      <w:r>
        <w:rPr>
          <w:color w:val="1B7D4A"/>
          <w:sz w:val="26"/>
        </w:rPr>
        <w:t>3.3 Apps genéricas de terceros</w:t>
      </w:r>
    </w:p>
    <w:p>
      <w:pPr>
        <w:spacing w:after="160"/>
      </w:pPr>
      <w:r>
        <w:rPr>
          <w:b w:val="0"/>
          <w:i w:val="0"/>
          <w:sz w:val="22"/>
        </w:rPr>
        <w:t>Existen apps similares tipo "Control de Consumo Eléctrico" (Google Play) o "Consumo Eléctrico" (App Store), pero están orientadas al mercado español y no incluyen tarifas chilenas ni distribuidoras locales. No se encontró evidencia de una app equivalente a SENERGY (multi-medidor + tarifas por región chilena + presupuesto) actualmente activa y dirigida específicamente al mercado chileno. Es un nicho real, pero vacío por buenas razones: el incumbente gratuito (la distribuidora) ya resuelve el 80% del problema para el usuario promedio.</w:t>
      </w:r>
    </w:p>
    <w:p>
      <w:pPr>
        <w:pStyle w:val="Heading2"/>
      </w:pPr>
      <w:r>
        <w:rPr>
          <w:color w:val="1B7D4A"/>
          <w:sz w:val="26"/>
        </w:rPr>
        <w:t>3.4 Startups chilenas de eficiencia energética (B2B, no compiten directo)</w:t>
      </w:r>
    </w:p>
    <w:p>
      <w:pPr>
        <w:spacing w:after="160"/>
      </w:pPr>
      <w:r>
        <w:rPr>
          <w:b w:val="0"/>
          <w:i w:val="0"/>
          <w:sz w:val="22"/>
        </w:rPr>
        <w:t>El ecosistema de startups de energía en Chile está orientado a empresas, no a consumidores finales: EMMA (eficiencia energética corporativa con IA), Flair (optimización de climatización, alianza con Copec), Playvolt (carga de vehículos eléctricos). Ninguna compite directo con un app B2C de seguimiento de consumo residencial — lo que confirma que es un nicho sin tracción de venture capital validada en Chile hasta ahora, en cualquiera de los dos sentidos posibles: espacio libre, o espacio sin demanda de inversión comprobada.</w:t>
      </w:r>
    </w:p>
    <w:p>
      <w:pPr>
        <w:pStyle w:val="Heading2"/>
      </w:pPr>
      <w:r>
        <w:rPr>
          <w:color w:val="1B7D4A"/>
          <w:sz w:val="26"/>
        </w:rPr>
        <w:t>3.5 Medidores inteligentes: la amenaza y oportunidad de mediano plazo</w:t>
      </w:r>
    </w:p>
    <w:p>
      <w:pPr>
        <w:spacing w:after="160"/>
      </w:pPr>
      <w:r>
        <w:rPr>
          <w:b w:val="0"/>
          <w:i w:val="0"/>
          <w:sz w:val="22"/>
        </w:rPr>
        <w:t>El Ministerio de Energía tiene en curso un plan de reemplazo de hasta 6,5 millones de medidores inteligentes (~USD 1.000 millones de inversión), de carácter voluntario y actualmente en debate legislativo sobre quién financia el recambio. Cuando un hogar tiene medidor inteligente, la distribuidora ya entrega consumo por hora/día automáticamente vía su app — eliminando por completo la necesidad de anotar lecturas a mano.</w:t>
      </w:r>
    </w:p>
    <w:p>
      <w:pPr>
        <w:spacing w:before="120" w:after="200"/>
      </w:pPr>
      <w:r>
        <w:rPr>
          <w:b/>
          <w:color w:val="1B7D4A"/>
        </w:rPr>
        <w:t xml:space="preserve">Lectura estratégica:  </w:t>
      </w:r>
      <w:r>
        <w:rPr>
          <w:i/>
        </w:rPr>
        <w:t>Esto afecta de forma distinta a los dos diferenciadores de la sección 3.2. La "visibilidad bajo demanda" (punto 1) pierde relevancia a medida que se instalan medidores inteligentes, porque la distribuidora pasa a entregar consumo por hora automáticamente. La "evidencia fotográfica propia" (punto 2) NO se ve afectada por el rollout — un medidor inteligente también puede tener errores de lectura o de facturación, y seguir teniendo un respaldo fotográfico propio, con fecha, fuera del sistema de la distribuidora, sigue siendo válido. Esto sugiere que el punto 2 es el diferenciador más defendible a largo plazo y el que debería concentrar la estrategia de producto y de precio.</w:t>
      </w:r>
    </w:p>
    <w:p>
      <w:pPr>
        <w:pStyle w:val="Heading2"/>
      </w:pPr>
      <w:r>
        <w:rPr>
          <w:color w:val="1B7D4A"/>
          <w:sz w:val="26"/>
        </w:rPr>
        <w:t>3.6 Conclusión del panorama competitivo</w:t>
      </w:r>
    </w:p>
    <w:p>
      <w:pPr>
        <w:spacing w:after="160"/>
      </w:pPr>
      <w:r>
        <w:rPr>
          <w:b w:val="0"/>
          <w:i w:val="0"/>
          <w:sz w:val="22"/>
        </w:rPr>
        <w:t>SENERGY sí tiene diferenciación real y verificable frente al incumbente gratuito — el error sería competir en "mostrar tu consumo mensual" (ahí pierde: ya es gratis y oficial en Enel/CGE) en vez de competir en las dos áreas donde gana: granularidad bajo demanda y evidencia fotográfica propia para disputar cobros, ambas con valor monetario tangible para el usuario (evitar pagar de más). Sumado a la agregación multi-medidor/multi-distribuidora en una sola app, la propuesta de valor es real. El problema actual no es de producto sino de comunicación y monetización: estas ventajas existen en el código pero no se usan todavía como mensaje principal ni como gancho de la suscripción Premium (ver sección 9).</w:t>
      </w:r>
    </w:p>
    <w:p>
      <w:pPr>
        <w:pStyle w:val="Heading1"/>
      </w:pPr>
      <w:r>
        <w:rPr>
          <w:color w:val="1B7D4A"/>
          <w:sz w:val="32"/>
        </w:rPr>
        <w:t>4. Estudio de Mercado (TAM / SAM / SOM)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shd w:val="clear" w:color="auto" w:fill="1B7D4A"/>
          </w:tcPr>
          <w:p>
            <w:r/>
            <w:r>
              <w:rPr>
                <w:b/>
                <w:color w:val="FFFFFF"/>
                <w:sz w:val="20"/>
              </w:rPr>
              <w:t>Nivel</w:t>
            </w:r>
          </w:p>
        </w:tc>
        <w:tc>
          <w:tcPr>
            <w:tcW w:type="dxa" w:w="3744"/>
            <w:shd w:val="clear" w:color="auto" w:fill="1B7D4A"/>
          </w:tcPr>
          <w:p>
            <w:r/>
            <w:r>
              <w:rPr>
                <w:b/>
                <w:color w:val="FFFFFF"/>
                <w:sz w:val="20"/>
              </w:rPr>
              <w:t>Definición</w:t>
            </w:r>
          </w:p>
        </w:tc>
        <w:tc>
          <w:tcPr>
            <w:tcW w:type="dxa" w:w="2736"/>
            <w:shd w:val="clear" w:color="auto" w:fill="1B7D4A"/>
          </w:tcPr>
          <w:p>
            <w:r/>
            <w:r>
              <w:rPr>
                <w:b/>
                <w:color w:val="FFFFFF"/>
                <w:sz w:val="20"/>
              </w:rPr>
              <w:t>Tamaño estimado</w:t>
            </w:r>
          </w:p>
        </w:tc>
        <w:tc>
          <w:tcPr>
            <w:tcW w:type="dxa" w:w="2880"/>
            <w:shd w:val="clear" w:color="auto" w:fill="1B7D4A"/>
          </w:tcPr>
          <w:p>
            <w:r/>
            <w:r>
              <w:rPr>
                <w:b/>
                <w:color w:val="FFFFFF"/>
                <w:sz w:val="20"/>
              </w:rPr>
              <w:t>Fuente / supuesto</w:t>
            </w:r>
          </w:p>
        </w:tc>
      </w:tr>
      <w:tr>
        <w:tc>
          <w:tcPr>
            <w:tcW w:type="dxa" w:w="1584"/>
          </w:tcPr>
          <w:p>
            <w:r/>
            <w:r>
              <w:rPr>
                <w:sz w:val="20"/>
              </w:rPr>
              <w:t>TAM</w:t>
            </w:r>
          </w:p>
        </w:tc>
        <w:tc>
          <w:tcPr>
            <w:tcW w:type="dxa" w:w="3744"/>
          </w:tcPr>
          <w:p>
            <w:r/>
            <w:r>
              <w:rPr>
                <w:sz w:val="20"/>
              </w:rPr>
              <w:t>Clientes regulados de electricidad en Chile (hogares)</w:t>
            </w:r>
          </w:p>
        </w:tc>
        <w:tc>
          <w:tcPr>
            <w:tcW w:type="dxa" w:w="2736"/>
          </w:tcPr>
          <w:p>
            <w:r/>
            <w:r>
              <w:rPr>
                <w:sz w:val="20"/>
              </w:rPr>
              <w:t>≈ 7,3 - 7,8 millones</w:t>
            </w:r>
          </w:p>
        </w:tc>
        <w:tc>
          <w:tcPr>
            <w:tcW w:type="dxa" w:w="2880"/>
          </w:tcPr>
          <w:p>
            <w:r/>
            <w:r>
              <w:rPr>
                <w:sz w:val="20"/>
              </w:rPr>
              <w:t>CNE / BCN, datos 2023, con crecimiento vegetativo leve</w:t>
            </w:r>
          </w:p>
        </w:tc>
      </w:tr>
      <w:tr>
        <w:tc>
          <w:tcPr>
            <w:tcW w:type="dxa" w:w="1584"/>
          </w:tcPr>
          <w:p>
            <w:r/>
            <w:r>
              <w:rPr>
                <w:sz w:val="20"/>
              </w:rPr>
              <w:t>SAM</w:t>
            </w:r>
          </w:p>
        </w:tc>
        <w:tc>
          <w:tcPr>
            <w:tcW w:type="dxa" w:w="3744"/>
          </w:tcPr>
          <w:p>
            <w:r/>
            <w:r>
              <w:rPr>
                <w:sz w:val="20"/>
              </w:rPr>
              <w:t>De ese TAM, hogares con smartphone y acceso a Internet</w:t>
            </w:r>
          </w:p>
        </w:tc>
        <w:tc>
          <w:tcPr>
            <w:tcW w:type="dxa" w:w="2736"/>
          </w:tcPr>
          <w:p>
            <w:r/>
            <w:r>
              <w:rPr>
                <w:sz w:val="20"/>
              </w:rPr>
              <w:t>≈ 7,0 - 7,4 millones (≈95% del TAM)</w:t>
            </w:r>
          </w:p>
        </w:tc>
        <w:tc>
          <w:tcPr>
            <w:tcW w:type="dxa" w:w="2880"/>
          </w:tcPr>
          <w:p>
            <w:r/>
            <w:r>
              <w:rPr>
                <w:sz w:val="20"/>
              </w:rPr>
              <w:t>Penetración de smartphone en adultos chilenos ~97%; Internet ~94,5%</w:t>
            </w:r>
          </w:p>
        </w:tc>
      </w:tr>
      <w:tr>
        <w:tc>
          <w:tcPr>
            <w:tcW w:type="dxa" w:w="1584"/>
          </w:tcPr>
          <w:p>
            <w:r/>
            <w:r>
              <w:rPr>
                <w:sz w:val="20"/>
              </w:rPr>
              <w:t>SOM Año 1 (orgánico, sin marketing pagado)</w:t>
            </w:r>
          </w:p>
        </w:tc>
        <w:tc>
          <w:tcPr>
            <w:tcW w:type="dxa" w:w="3744"/>
          </w:tcPr>
          <w:p>
            <w:r/>
            <w:r>
              <w:rPr>
                <w:sz w:val="20"/>
              </w:rPr>
              <w:t>Instalaciones realistas para un app indie sin presupuesto de adquisición</w:t>
            </w:r>
          </w:p>
        </w:tc>
        <w:tc>
          <w:tcPr>
            <w:tcW w:type="dxa" w:w="2736"/>
          </w:tcPr>
          <w:p>
            <w:r/>
            <w:r>
              <w:rPr>
                <w:sz w:val="20"/>
              </w:rPr>
              <w:t>2.000 - 25.000 instalaciones acumuladas</w:t>
            </w:r>
          </w:p>
        </w:tc>
        <w:tc>
          <w:tcPr>
            <w:tcW w:type="dxa" w:w="2880"/>
          </w:tcPr>
          <w:p>
            <w:r/>
            <w:r>
              <w:rPr>
                <w:sz w:val="20"/>
              </w:rPr>
              <w:t>Ver escenarios financieros, sección 6</w:t>
            </w:r>
          </w:p>
        </w:tc>
      </w:tr>
    </w:tbl>
    <w:p>
      <w:pPr>
        <w:spacing w:after="80"/>
      </w:pPr>
    </w:p>
    <w:p>
      <w:pPr>
        <w:spacing w:after="160"/>
      </w:pPr>
      <w:r>
        <w:rPr>
          <w:b w:val="0"/>
          <w:i w:val="0"/>
          <w:sz w:val="22"/>
        </w:rPr>
        <w:t>El dato más importante de esta sección no es el TAM (que es grande y saludable: prácticamente todo el país tiene el problema y el teléfono para resolverlo), sino que la brecha entre TAM/SAM y SOM realista es enorme. El límite no es el tamaño del mercado — es la capacidad de adquirir usuarios sin presupuesto de marketing, compitiendo contra una solución gratuita ya instalada por el incumbente.</w:t>
      </w:r>
    </w:p>
    <w:p>
      <w:pPr>
        <w:pStyle w:val="Heading1"/>
      </w:pPr>
      <w:r>
        <w:rPr>
          <w:color w:val="1B7D4A"/>
          <w:sz w:val="32"/>
        </w:rPr>
        <w:t>5. Modelo de Negocio Actual y Supuestos de Monetización</w:t>
      </w:r>
    </w:p>
    <w:p>
      <w:pPr>
        <w:spacing w:after="160"/>
      </w:pPr>
      <w:r>
        <w:rPr>
          <w:b w:val="0"/>
          <w:i w:val="0"/>
          <w:sz w:val="22"/>
        </w:rPr>
        <w:t>Dos fuentes de ingreso, ambas con techos estructurales bajos para este tipo de producto:</w:t>
      </w:r>
    </w:p>
    <w:p>
      <w:pPr>
        <w:pStyle w:val="ListBullet"/>
      </w:pPr>
      <w:r>
        <w:rPr>
          <w:b/>
        </w:rPr>
        <w:t xml:space="preserve">Publicidad (AdMob): </w:t>
      </w:r>
      <w:r>
        <w:t>Banners en Home, Stats y Profile. El eCPM de banner en Chile/LatAm es bajo comparado a mercados Tier 1 (EE.UU./Europa): referencias de mercado sitúan el eCPM de banner en LatAm entre USD 0,12 y USD 0,80, muy por debajo de los USD 0,45-0,68 de EE.UU. Además, SENERGY es un app de baja frecuencia de uso (se revisa cuando llega la boleta, no a diario como una red social o juego), por lo que el volumen de impresiones por usuario es intrínsecamente bajo.</w:t>
      </w:r>
    </w:p>
    <w:p>
      <w:pPr>
        <w:pStyle w:val="ListBullet"/>
      </w:pPr>
      <w:r>
        <w:rPr>
          <w:b/>
        </w:rPr>
        <w:t xml:space="preserve">Suscripción Premium: </w:t>
      </w:r>
      <w:r>
        <w:t>$1.000 CLP/mes (≈ USD 1,08). Google Play retiene 15% para desarrolladores bajo el programa de pequeñas empresas, dejando ≈ $850 CLP (≈ USD 0,92) netos por suscriptor al mes. Es un precio psicológicamente muy accesible, pero también un ARPU extremadamente bajo: se necesitan muchísimos suscriptores para que la cifra total importe.</w:t>
      </w:r>
    </w:p>
    <w:p>
      <w:pPr>
        <w:spacing w:after="160"/>
      </w:pPr>
      <w:r>
        <w:rPr>
          <w:b w:val="0"/>
          <w:i/>
          <w:color w:val="6B7280"/>
          <w:sz w:val="22"/>
        </w:rPr>
        <w:t>Supuesto de conversión free-to-paid: la industria cita 4-6% para apps freemium bien diseñadas con features exclusivas fuertes. SENERGY hoy solo ofrece "sin anuncios + soporte prioritario" como beneficio Premium — un gancho débil. Este análisis usa un rango más conservador y realista: 1% a 4% según escenario.</w:t>
      </w:r>
    </w:p>
    <w:p>
      <w:pPr>
        <w:pStyle w:val="Heading1"/>
      </w:pPr>
      <w:r>
        <w:rPr>
          <w:color w:val="1B7D4A"/>
          <w:sz w:val="32"/>
        </w:rPr>
        <w:t>6. Proyecciones Financieras (3 escenarios)</w:t>
      </w:r>
    </w:p>
    <w:p>
      <w:pPr>
        <w:spacing w:after="160"/>
      </w:pPr>
      <w:r>
        <w:rPr>
          <w:b w:val="0"/>
          <w:i w:val="0"/>
          <w:sz w:val="22"/>
        </w:rPr>
        <w:t>Supuestos base para los 3 escenarios (Chile, solo Android, sin inversión en adquisición pagada, tipo de cambio ≈ $925 CLP/USD):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032"/>
            <w:shd w:val="clear" w:color="auto" w:fill="1B7D4A"/>
          </w:tcPr>
          <w:p>
            <w:r/>
            <w:r>
              <w:rPr>
                <w:b/>
                <w:color w:val="FFFFFF"/>
                <w:sz w:val="20"/>
              </w:rPr>
              <w:t>Supuesto</w:t>
            </w:r>
          </w:p>
        </w:tc>
        <w:tc>
          <w:tcPr>
            <w:tcW w:type="dxa" w:w="2160"/>
            <w:shd w:val="clear" w:color="auto" w:fill="1B7D4A"/>
          </w:tcPr>
          <w:p>
            <w:r/>
            <w:r>
              <w:rPr>
                <w:b/>
                <w:color w:val="FFFFFF"/>
                <w:sz w:val="20"/>
              </w:rPr>
              <w:t>Conservador</w:t>
            </w:r>
          </w:p>
        </w:tc>
        <w:tc>
          <w:tcPr>
            <w:tcW w:type="dxa" w:w="2160"/>
            <w:shd w:val="clear" w:color="auto" w:fill="1B7D4A"/>
          </w:tcPr>
          <w:p>
            <w:r/>
            <w:r>
              <w:rPr>
                <w:b/>
                <w:color w:val="FFFFFF"/>
                <w:sz w:val="20"/>
              </w:rPr>
              <w:t>Base</w:t>
            </w:r>
          </w:p>
        </w:tc>
        <w:tc>
          <w:tcPr>
            <w:tcW w:type="dxa" w:w="2160"/>
            <w:shd w:val="clear" w:color="auto" w:fill="1B7D4A"/>
          </w:tcPr>
          <w:p>
            <w:r/>
            <w:r>
              <w:rPr>
                <w:b/>
                <w:color w:val="FFFFFF"/>
                <w:sz w:val="20"/>
              </w:rPr>
              <w:t>Optimista</w:t>
            </w:r>
          </w:p>
        </w:tc>
      </w:tr>
      <w:tr>
        <w:tc>
          <w:tcPr>
            <w:tcW w:type="dxa" w:w="4032"/>
          </w:tcPr>
          <w:p>
            <w:r/>
            <w:r>
              <w:rPr>
                <w:sz w:val="20"/>
              </w:rPr>
              <w:t>Instalaciones acumuladas (mes 12)</w:t>
            </w:r>
          </w:p>
        </w:tc>
        <w:tc>
          <w:tcPr>
            <w:tcW w:type="dxa" w:w="2160"/>
          </w:tcPr>
          <w:p>
            <w:r/>
            <w:r>
              <w:rPr>
                <w:sz w:val="20"/>
              </w:rPr>
              <w:t>2.000</w:t>
            </w:r>
          </w:p>
        </w:tc>
        <w:tc>
          <w:tcPr>
            <w:tcW w:type="dxa" w:w="2160"/>
          </w:tcPr>
          <w:p>
            <w:r/>
            <w:r>
              <w:rPr>
                <w:sz w:val="20"/>
              </w:rPr>
              <w:t>8.000</w:t>
            </w:r>
          </w:p>
        </w:tc>
        <w:tc>
          <w:tcPr>
            <w:tcW w:type="dxa" w:w="2160"/>
          </w:tcPr>
          <w:p>
            <w:r/>
            <w:r>
              <w:rPr>
                <w:sz w:val="20"/>
              </w:rPr>
              <w:t>25.000</w:t>
            </w:r>
          </w:p>
        </w:tc>
      </w:tr>
      <w:tr>
        <w:tc>
          <w:tcPr>
            <w:tcW w:type="dxa" w:w="4032"/>
          </w:tcPr>
          <w:p>
            <w:r/>
            <w:r>
              <w:rPr>
                <w:sz w:val="20"/>
              </w:rPr>
              <w:t>Retención / usuarios activos mensuales (MAU) al mes 12</w:t>
            </w:r>
          </w:p>
        </w:tc>
        <w:tc>
          <w:tcPr>
            <w:tcW w:type="dxa" w:w="2160"/>
          </w:tcPr>
          <w:p>
            <w:r/>
            <w:r>
              <w:rPr>
                <w:sz w:val="20"/>
              </w:rPr>
              <w:t>300 (15%)</w:t>
            </w:r>
          </w:p>
        </w:tc>
        <w:tc>
          <w:tcPr>
            <w:tcW w:type="dxa" w:w="2160"/>
          </w:tcPr>
          <w:p>
            <w:r/>
            <w:r>
              <w:rPr>
                <w:sz w:val="20"/>
              </w:rPr>
              <w:t>1.600 (20%)</w:t>
            </w:r>
          </w:p>
        </w:tc>
        <w:tc>
          <w:tcPr>
            <w:tcW w:type="dxa" w:w="2160"/>
          </w:tcPr>
          <w:p>
            <w:r/>
            <w:r>
              <w:rPr>
                <w:sz w:val="20"/>
              </w:rPr>
              <w:t>6.250 (25%)</w:t>
            </w:r>
          </w:p>
        </w:tc>
      </w:tr>
      <w:tr>
        <w:tc>
          <w:tcPr>
            <w:tcW w:type="dxa" w:w="4032"/>
          </w:tcPr>
          <w:p>
            <w:r/>
            <w:r>
              <w:rPr>
                <w:sz w:val="20"/>
              </w:rPr>
              <w:t>Conversión a Premium (% de MAU)</w:t>
            </w:r>
          </w:p>
        </w:tc>
        <w:tc>
          <w:tcPr>
            <w:tcW w:type="dxa" w:w="2160"/>
          </w:tcPr>
          <w:p>
            <w:r/>
            <w:r>
              <w:rPr>
                <w:sz w:val="20"/>
              </w:rPr>
              <w:t>1,0%</w:t>
            </w:r>
          </w:p>
        </w:tc>
        <w:tc>
          <w:tcPr>
            <w:tcW w:type="dxa" w:w="2160"/>
          </w:tcPr>
          <w:p>
            <w:r/>
            <w:r>
              <w:rPr>
                <w:sz w:val="20"/>
              </w:rPr>
              <w:t>2,5%</w:t>
            </w:r>
          </w:p>
        </w:tc>
        <w:tc>
          <w:tcPr>
            <w:tcW w:type="dxa" w:w="2160"/>
          </w:tcPr>
          <w:p>
            <w:r/>
            <w:r>
              <w:rPr>
                <w:sz w:val="20"/>
              </w:rPr>
              <w:t>4,0%</w:t>
            </w:r>
          </w:p>
        </w:tc>
      </w:tr>
      <w:tr>
        <w:tc>
          <w:tcPr>
            <w:tcW w:type="dxa" w:w="4032"/>
          </w:tcPr>
          <w:p>
            <w:r/>
            <w:r>
              <w:rPr>
                <w:sz w:val="20"/>
              </w:rPr>
              <w:t>eCPM banner asumido</w:t>
            </w:r>
          </w:p>
        </w:tc>
        <w:tc>
          <w:tcPr>
            <w:tcW w:type="dxa" w:w="2160"/>
          </w:tcPr>
          <w:p>
            <w:r/>
            <w:r>
              <w:rPr>
                <w:sz w:val="20"/>
              </w:rPr>
              <w:t>USD 0,20</w:t>
            </w:r>
          </w:p>
        </w:tc>
        <w:tc>
          <w:tcPr>
            <w:tcW w:type="dxa" w:w="2160"/>
          </w:tcPr>
          <w:p>
            <w:r/>
            <w:r>
              <w:rPr>
                <w:sz w:val="20"/>
              </w:rPr>
              <w:t>USD 0,30</w:t>
            </w:r>
          </w:p>
        </w:tc>
        <w:tc>
          <w:tcPr>
            <w:tcW w:type="dxa" w:w="2160"/>
          </w:tcPr>
          <w:p>
            <w:r/>
            <w:r>
              <w:rPr>
                <w:sz w:val="20"/>
              </w:rPr>
              <w:t>USD 0,40</w:t>
            </w:r>
          </w:p>
        </w:tc>
      </w:tr>
    </w:tbl>
    <w:p>
      <w:pPr>
        <w:spacing w:after="80"/>
      </w:pP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shd w:val="clear" w:color="auto" w:fill="1B7D4A"/>
          </w:tcPr>
          <w:p>
            <w:r/>
            <w:r>
              <w:rPr>
                <w:b/>
                <w:color w:val="FFFFFF"/>
                <w:sz w:val="20"/>
              </w:rPr>
              <w:t>Escenario</w:t>
            </w:r>
          </w:p>
        </w:tc>
        <w:tc>
          <w:tcPr>
            <w:tcW w:type="dxa" w:w="2304"/>
            <w:shd w:val="clear" w:color="auto" w:fill="1B7D4A"/>
          </w:tcPr>
          <w:p>
            <w:r/>
            <w:r>
              <w:rPr>
                <w:b/>
                <w:color w:val="FFFFFF"/>
                <w:sz w:val="20"/>
              </w:rPr>
              <w:t>Suscriptores Premium (mes 12)</w:t>
            </w:r>
          </w:p>
        </w:tc>
        <w:tc>
          <w:tcPr>
            <w:tcW w:type="dxa" w:w="2160"/>
            <w:shd w:val="clear" w:color="auto" w:fill="1B7D4A"/>
          </w:tcPr>
          <w:p>
            <w:r/>
            <w:r>
              <w:rPr>
                <w:b/>
                <w:color w:val="FFFFFF"/>
                <w:sz w:val="20"/>
              </w:rPr>
              <w:t>Ingreso mensual (mes 12)</w:t>
            </w:r>
          </w:p>
        </w:tc>
        <w:tc>
          <w:tcPr>
            <w:tcW w:type="dxa" w:w="2160"/>
            <w:shd w:val="clear" w:color="auto" w:fill="1B7D4A"/>
          </w:tcPr>
          <w:p>
            <w:r/>
            <w:r>
              <w:rPr>
                <w:b/>
                <w:color w:val="FFFFFF"/>
                <w:sz w:val="20"/>
              </w:rPr>
              <w:t>Ingreso acumulado Año 1</w:t>
            </w:r>
          </w:p>
        </w:tc>
        <w:tc>
          <w:tcPr>
            <w:tcW w:type="dxa" w:w="2160"/>
            <w:shd w:val="clear" w:color="auto" w:fill="1B7D4A"/>
          </w:tcPr>
          <w:p>
            <w:r/>
            <w:r>
              <w:rPr>
                <w:b/>
                <w:color w:val="FFFFFF"/>
                <w:sz w:val="20"/>
              </w:rPr>
              <w:t>Ingreso acumulado Año 2</w:t>
            </w:r>
          </w:p>
        </w:tc>
      </w:tr>
      <w:tr>
        <w:tc>
          <w:tcPr>
            <w:tcW w:type="dxa" w:w="2448"/>
          </w:tcPr>
          <w:p>
            <w:r/>
            <w:r>
              <w:rPr>
                <w:sz w:val="20"/>
              </w:rPr>
              <w:t>Conservador</w:t>
            </w:r>
          </w:p>
        </w:tc>
        <w:tc>
          <w:tcPr>
            <w:tcW w:type="dxa" w:w="2304"/>
          </w:tcPr>
          <w:p>
            <w:r/>
            <w:r>
              <w:rPr>
                <w:sz w:val="20"/>
              </w:rPr>
              <w:t>3</w:t>
            </w:r>
          </w:p>
        </w:tc>
        <w:tc>
          <w:tcPr>
            <w:tcW w:type="dxa" w:w="2160"/>
          </w:tcPr>
          <w:p>
            <w:r/>
            <w:r>
              <w:rPr>
                <w:sz w:val="20"/>
              </w:rPr>
              <w:t>≈ $3.200 CLP (USD 3,5)</w:t>
            </w:r>
          </w:p>
        </w:tc>
        <w:tc>
          <w:tcPr>
            <w:tcW w:type="dxa" w:w="2160"/>
          </w:tcPr>
          <w:p>
            <w:r/>
            <w:r>
              <w:rPr>
                <w:sz w:val="20"/>
              </w:rPr>
              <w:t>≈ $19.000 CLP (USD 21)</w:t>
            </w:r>
          </w:p>
        </w:tc>
        <w:tc>
          <w:tcPr>
            <w:tcW w:type="dxa" w:w="2160"/>
          </w:tcPr>
          <w:p>
            <w:r/>
            <w:r>
              <w:rPr>
                <w:sz w:val="20"/>
              </w:rPr>
              <w:t>≈ $58.000 CLP (USD 63)</w:t>
            </w:r>
          </w:p>
        </w:tc>
      </w:tr>
      <w:tr>
        <w:tc>
          <w:tcPr>
            <w:tcW w:type="dxa" w:w="2448"/>
          </w:tcPr>
          <w:p>
            <w:r/>
            <w:r>
              <w:rPr>
                <w:sz w:val="20"/>
              </w:rPr>
              <w:t>Base</w:t>
            </w:r>
          </w:p>
        </w:tc>
        <w:tc>
          <w:tcPr>
            <w:tcW w:type="dxa" w:w="2304"/>
          </w:tcPr>
          <w:p>
            <w:r/>
            <w:r>
              <w:rPr>
                <w:sz w:val="20"/>
              </w:rPr>
              <w:t>40</w:t>
            </w:r>
          </w:p>
        </w:tc>
        <w:tc>
          <w:tcPr>
            <w:tcW w:type="dxa" w:w="2160"/>
          </w:tcPr>
          <w:p>
            <w:r/>
            <w:r>
              <w:rPr>
                <w:sz w:val="20"/>
              </w:rPr>
              <w:t>≈ $37.500 CLP (USD 40,5)</w:t>
            </w:r>
          </w:p>
        </w:tc>
        <w:tc>
          <w:tcPr>
            <w:tcW w:type="dxa" w:w="2160"/>
          </w:tcPr>
          <w:p>
            <w:r/>
            <w:r>
              <w:rPr>
                <w:sz w:val="20"/>
              </w:rPr>
              <w:t>≈ $225.000 CLP (USD 243)</w:t>
            </w:r>
          </w:p>
        </w:tc>
        <w:tc>
          <w:tcPr>
            <w:tcW w:type="dxa" w:w="2160"/>
          </w:tcPr>
          <w:p>
            <w:r/>
            <w:r>
              <w:rPr>
                <w:sz w:val="20"/>
              </w:rPr>
              <w:t>≈ $718.000 CLP (USD 776)</w:t>
            </w:r>
          </w:p>
        </w:tc>
      </w:tr>
      <w:tr>
        <w:tc>
          <w:tcPr>
            <w:tcW w:type="dxa" w:w="2448"/>
          </w:tcPr>
          <w:p>
            <w:r/>
            <w:r>
              <w:rPr>
                <w:sz w:val="20"/>
              </w:rPr>
              <w:t>Optimista</w:t>
            </w:r>
          </w:p>
        </w:tc>
        <w:tc>
          <w:tcPr>
            <w:tcW w:type="dxa" w:w="2304"/>
          </w:tcPr>
          <w:p>
            <w:r/>
            <w:r>
              <w:rPr>
                <w:sz w:val="20"/>
              </w:rPr>
              <w:t>250</w:t>
            </w:r>
          </w:p>
        </w:tc>
        <w:tc>
          <w:tcPr>
            <w:tcW w:type="dxa" w:w="2160"/>
          </w:tcPr>
          <w:p>
            <w:r/>
            <w:r>
              <w:rPr>
                <w:sz w:val="20"/>
              </w:rPr>
              <w:t>≈ $226.000 CLP (USD 244)</w:t>
            </w:r>
          </w:p>
        </w:tc>
        <w:tc>
          <w:tcPr>
            <w:tcW w:type="dxa" w:w="2160"/>
          </w:tcPr>
          <w:p>
            <w:r/>
            <w:r>
              <w:rPr>
                <w:sz w:val="20"/>
              </w:rPr>
              <w:t>≈ $1.355.000 CLP (USD 1.464)</w:t>
            </w:r>
          </w:p>
        </w:tc>
        <w:tc>
          <w:tcPr>
            <w:tcW w:type="dxa" w:w="2160"/>
          </w:tcPr>
          <w:p>
            <w:r/>
            <w:r>
              <w:rPr>
                <w:sz w:val="20"/>
              </w:rPr>
              <w:t>≈ $4.612.000 CLP (USD 4.986)</w:t>
            </w:r>
          </w:p>
        </w:tc>
      </w:tr>
      <w:tr>
        <w:tc>
          <w:tcPr>
            <w:tcW w:type="dxa" w:w="2448"/>
          </w:tcPr>
          <w:p>
            <w:r/>
            <w:r>
              <w:rPr>
                <w:sz w:val="20"/>
              </w:rPr>
              <w:t>Optimista + Reposicionamiento*</w:t>
            </w:r>
          </w:p>
        </w:tc>
        <w:tc>
          <w:tcPr>
            <w:tcW w:type="dxa" w:w="2304"/>
          </w:tcPr>
          <w:p>
            <w:r/>
            <w:r>
              <w:rPr>
                <w:sz w:val="20"/>
              </w:rPr>
              <w:t>375</w:t>
            </w:r>
          </w:p>
        </w:tc>
        <w:tc>
          <w:tcPr>
            <w:tcW w:type="dxa" w:w="2160"/>
          </w:tcPr>
          <w:p>
            <w:r/>
            <w:r>
              <w:rPr>
                <w:sz w:val="20"/>
              </w:rPr>
              <w:t>≈ $651.000 CLP (USD 704)</w:t>
            </w:r>
          </w:p>
        </w:tc>
        <w:tc>
          <w:tcPr>
            <w:tcW w:type="dxa" w:w="2160"/>
          </w:tcPr>
          <w:p>
            <w:r/>
            <w:r>
              <w:rPr>
                <w:sz w:val="20"/>
              </w:rPr>
              <w:t>≈ $3.910.000 CLP (USD 4.224)</w:t>
            </w:r>
          </w:p>
        </w:tc>
        <w:tc>
          <w:tcPr>
            <w:tcW w:type="dxa" w:w="2160"/>
          </w:tcPr>
          <w:p>
            <w:r/>
            <w:r>
              <w:rPr>
                <w:sz w:val="20"/>
              </w:rPr>
              <w:t>≈ $13.290.000 CLP (USD 14.364)</w:t>
            </w:r>
          </w:p>
        </w:tc>
      </w:tr>
    </w:tbl>
    <w:p>
      <w:pPr>
        <w:spacing w:after="80"/>
      </w:pPr>
    </w:p>
    <w:p>
      <w:pPr>
        <w:spacing w:after="160"/>
      </w:pPr>
      <w:r>
        <w:rPr>
          <w:b w:val="0"/>
          <w:i/>
          <w:color w:val="6B7280"/>
          <w:sz w:val="20"/>
        </w:rPr>
        <w:t>* Mismo número de usuarios activos que el escenario Optimista, pero aplicando la recomendación de la sección 9: subir el precio Premium a $2.000 CLP/mes (aprox. USD 2,16) y usar la evidencia fotográfica + visibilidad diaria como gancho principal de conversión, lo que sube la tasa de conversión asumida de 4% a 6% de los usuarios activos. No es un supuesto garantizado — depende de ejecutar el reposicionamiento — pero cuantifica cuánto vale, en ingresos, corregir hoy el punto ciego identificado en la sección 3.2.</w:t>
      </w:r>
    </w:p>
    <w:p>
      <w:pPr>
        <w:spacing w:after="160"/>
      </w:pPr>
      <w:r>
        <w:rPr>
          <w:b w:val="0"/>
          <w:i/>
          <w:color w:val="6B7280"/>
          <w:sz w:val="20"/>
        </w:rPr>
        <w:t>Los ingresos acumulados asumen una rampa lineal desde $0 hasta la cifra del mes 12/24 (aproximación razonable para una curva de crecimiento orgánico sin picos de marketing). El detalle de cálculo está disponible si se requiere para un pitch deck.</w:t>
      </w:r>
    </w:p>
    <w:p>
      <w:pPr>
        <w:spacing w:before="120" w:after="200"/>
      </w:pPr>
      <w:r>
        <w:rPr>
          <w:b/>
          <w:color w:val="DC2626"/>
        </w:rPr>
        <w:t xml:space="preserve">El hallazgo clave de esta sección:  </w:t>
      </w:r>
      <w:r>
        <w:rPr>
          <w:i/>
        </w:rPr>
        <w:t>Sin cambiar nada del producto ni del precio, SENERGY genera del orden de USD 1.500 - 5.000 en sus primeros dos años solo con crecimiento orgánico — suficiente para pagar infraestructura y validar el producto, pero no un caso de negocio por sí solo para capital de riesgo tradicional. Ejecutando el reposicionamiento de la sección 9 (mismo tráfico, mejor precio y mejor mensaje), ese techo casi se triplica a ~USD 14.000 en 2 años — la diferencia no viene de más usuarios, viene de monetizar mejor la ventaja que el producto ya tiene.</w:t>
      </w:r>
    </w:p>
    <w:p>
      <w:pPr>
        <w:pStyle w:val="Heading1"/>
      </w:pPr>
      <w:r>
        <w:rPr>
          <w:color w:val="1B7D4A"/>
          <w:sz w:val="32"/>
        </w:rPr>
        <w:t>7. Estructura de Costos Recurrentes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color="auto" w:fill="1B7D4A"/>
          </w:tcPr>
          <w:p>
            <w:r/>
            <w:r>
              <w:rPr>
                <w:b/>
                <w:color w:val="FFFFFF"/>
                <w:sz w:val="20"/>
              </w:rPr>
              <w:t>Costo</w:t>
            </w:r>
          </w:p>
        </w:tc>
        <w:tc>
          <w:tcPr>
            <w:tcW w:type="dxa" w:w="2880"/>
            <w:shd w:val="clear" w:color="auto" w:fill="1B7D4A"/>
          </w:tcPr>
          <w:p>
            <w:r/>
            <w:r>
              <w:rPr>
                <w:b/>
                <w:color w:val="FFFFFF"/>
                <w:sz w:val="20"/>
              </w:rPr>
              <w:t>Monto aproximado</w:t>
            </w:r>
          </w:p>
        </w:tc>
        <w:tc>
          <w:tcPr>
            <w:tcW w:type="dxa" w:w="4176"/>
            <w:shd w:val="clear" w:color="auto" w:fill="1B7D4A"/>
          </w:tcPr>
          <w:p>
            <w:r/>
            <w:r>
              <w:rPr>
                <w:b/>
                <w:color w:val="FFFFFF"/>
                <w:sz w:val="20"/>
              </w:rPr>
              <w:t>Nota</w:t>
            </w:r>
          </w:p>
        </w:tc>
      </w:tr>
      <w:tr>
        <w:tc>
          <w:tcPr>
            <w:tcW w:type="dxa" w:w="3024"/>
          </w:tcPr>
          <w:p>
            <w:r/>
            <w:r>
              <w:rPr>
                <w:sz w:val="20"/>
              </w:rPr>
              <w:t>Cuenta Google Play Developer</w:t>
            </w:r>
          </w:p>
        </w:tc>
        <w:tc>
          <w:tcPr>
            <w:tcW w:type="dxa" w:w="2880"/>
          </w:tcPr>
          <w:p>
            <w:r/>
            <w:r>
              <w:rPr>
                <w:sz w:val="20"/>
              </w:rPr>
              <w:t>USD 25 (pago único)</w:t>
            </w:r>
          </w:p>
        </w:tc>
        <w:tc>
          <w:tcPr>
            <w:tcW w:type="dxa" w:w="4176"/>
          </w:tcPr>
          <w:p>
            <w:r/>
            <w:r>
              <w:rPr>
                <w:sz w:val="20"/>
              </w:rPr>
              <w:t>Obligatorio para publicar, ya identificado como bloqueante</w:t>
            </w:r>
          </w:p>
        </w:tc>
      </w:tr>
      <w:tr>
        <w:tc>
          <w:tcPr>
            <w:tcW w:type="dxa" w:w="3024"/>
          </w:tcPr>
          <w:p>
            <w:r/>
            <w:r>
              <w:rPr>
                <w:sz w:val="20"/>
              </w:rPr>
              <w:t>Cuenta Apple Developer</w:t>
            </w:r>
          </w:p>
        </w:tc>
        <w:tc>
          <w:tcPr>
            <w:tcW w:type="dxa" w:w="2880"/>
          </w:tcPr>
          <w:p>
            <w:r/>
            <w:r>
              <w:rPr>
                <w:sz w:val="20"/>
              </w:rPr>
              <w:t>USD 99 / año</w:t>
            </w:r>
          </w:p>
        </w:tc>
        <w:tc>
          <w:tcPr>
            <w:tcW w:type="dxa" w:w="4176"/>
          </w:tcPr>
          <w:p>
            <w:r/>
            <w:r>
              <w:rPr>
                <w:sz w:val="20"/>
              </w:rPr>
              <w:t>Solo si se lanza iOS — opcional en el corto plazo</w:t>
            </w:r>
          </w:p>
        </w:tc>
      </w:tr>
      <w:tr>
        <w:tc>
          <w:tcPr>
            <w:tcW w:type="dxa" w:w="3024"/>
          </w:tcPr>
          <w:p>
            <w:r/>
            <w:r>
              <w:rPr>
                <w:sz w:val="20"/>
              </w:rPr>
              <w:t>Firebase (Firestore/Auth/Storage)</w:t>
            </w:r>
          </w:p>
        </w:tc>
        <w:tc>
          <w:tcPr>
            <w:tcW w:type="dxa" w:w="2880"/>
          </w:tcPr>
          <w:p>
            <w:r/>
            <w:r>
              <w:rPr>
                <w:sz w:val="20"/>
              </w:rPr>
              <w:t>USD 0 - 50 / año a esta escala</w:t>
            </w:r>
          </w:p>
        </w:tc>
        <w:tc>
          <w:tcPr>
            <w:tcW w:type="dxa" w:w="4176"/>
          </w:tcPr>
          <w:p>
            <w:r/>
            <w:r>
              <w:rPr>
                <w:sz w:val="20"/>
              </w:rPr>
              <w:t>Dentro del tier gratuito hasta varios miles de MAU</w:t>
            </w:r>
          </w:p>
        </w:tc>
      </w:tr>
      <w:tr>
        <w:tc>
          <w:tcPr>
            <w:tcW w:type="dxa" w:w="3024"/>
          </w:tcPr>
          <w:p>
            <w:r/>
            <w:r>
              <w:rPr>
                <w:sz w:val="20"/>
              </w:rPr>
              <w:t>Cloudinary (fotos de medidores)</w:t>
            </w:r>
          </w:p>
        </w:tc>
        <w:tc>
          <w:tcPr>
            <w:tcW w:type="dxa" w:w="2880"/>
          </w:tcPr>
          <w:p>
            <w:r/>
            <w:r>
              <w:rPr>
                <w:sz w:val="20"/>
              </w:rPr>
              <w:t>USD 0 - 90 / año</w:t>
            </w:r>
          </w:p>
        </w:tc>
        <w:tc>
          <w:tcPr>
            <w:tcW w:type="dxa" w:w="4176"/>
          </w:tcPr>
          <w:p>
            <w:r/>
            <w:r>
              <w:rPr>
                <w:sz w:val="20"/>
              </w:rPr>
              <w:t>Tier gratuito puede no alcanzar si crece el uso de fotos</w:t>
            </w:r>
          </w:p>
        </w:tc>
      </w:tr>
      <w:tr>
        <w:tc>
          <w:tcPr>
            <w:tcW w:type="dxa" w:w="3024"/>
          </w:tcPr>
          <w:p>
            <w:r/>
            <w:r>
              <w:rPr>
                <w:sz w:val="20"/>
              </w:rPr>
              <w:t>EAS Build (Expo)</w:t>
            </w:r>
          </w:p>
        </w:tc>
        <w:tc>
          <w:tcPr>
            <w:tcW w:type="dxa" w:w="2880"/>
          </w:tcPr>
          <w:p>
            <w:r/>
            <w:r>
              <w:rPr>
                <w:sz w:val="20"/>
              </w:rPr>
              <w:t>USD 0 (ocasional) - 348 / año (plan Production)</w:t>
            </w:r>
          </w:p>
        </w:tc>
        <w:tc>
          <w:tcPr>
            <w:tcW w:type="dxa" w:w="4176"/>
          </w:tcPr>
          <w:p>
            <w:r/>
            <w:r>
              <w:rPr>
                <w:sz w:val="20"/>
              </w:rPr>
              <w:t>Solo necesario si se hacen builds frecuentes</w:t>
            </w:r>
          </w:p>
        </w:tc>
      </w:tr>
      <w:tr>
        <w:tc>
          <w:tcPr>
            <w:tcW w:type="dxa" w:w="3024"/>
          </w:tcPr>
          <w:p>
            <w:r/>
            <w:r>
              <w:rPr>
                <w:sz w:val="20"/>
              </w:rPr>
              <w:t>RevenueCat</w:t>
            </w:r>
          </w:p>
        </w:tc>
        <w:tc>
          <w:tcPr>
            <w:tcW w:type="dxa" w:w="2880"/>
          </w:tcPr>
          <w:p>
            <w:r/>
            <w:r>
              <w:rPr>
                <w:sz w:val="20"/>
              </w:rPr>
              <w:t>USD 0</w:t>
            </w:r>
          </w:p>
        </w:tc>
        <w:tc>
          <w:tcPr>
            <w:tcW w:type="dxa" w:w="4176"/>
          </w:tcPr>
          <w:p>
            <w:r/>
            <w:r>
              <w:rPr>
                <w:sz w:val="20"/>
              </w:rPr>
              <w:t>Gratis hasta USD 2.500/mes de ingreso transaccionado — muy por encima de cualquier escenario aquí</w:t>
            </w:r>
          </w:p>
        </w:tc>
      </w:tr>
    </w:tbl>
    <w:p>
      <w:pPr>
        <w:spacing w:after="80"/>
      </w:pPr>
    </w:p>
    <w:p>
      <w:pPr>
        <w:spacing w:after="160"/>
      </w:pPr>
      <w:r>
        <w:rPr>
          <w:b w:val="0"/>
          <w:i w:val="0"/>
          <w:sz w:val="22"/>
        </w:rPr>
        <w:t>Comparando esta tabla con la sección 6: en el escenario Conservador, los ingresos del Año 1 (~USD 21) ni siquiera cubren la cuenta de Apple Developer (USD 99/año) si se decide lanzar en iOS. En el escenario Base, los ingresos cubren los costos de infraestructura con margen modesto. Solo el escenario Optimista deja un excedente claro.</w:t>
      </w:r>
    </w:p>
    <w:p>
      <w:pPr>
        <w:pStyle w:val="Heading1"/>
      </w:pPr>
      <w:r>
        <w:rPr>
          <w:color w:val="1B7D4A"/>
          <w:sz w:val="32"/>
        </w:rPr>
        <w:t>8. ¿Es Rentable? ¿Es Financiable? — Análisis Honesto</w:t>
      </w:r>
    </w:p>
    <w:p>
      <w:pPr>
        <w:pStyle w:val="Heading2"/>
      </w:pPr>
      <w:r>
        <w:rPr>
          <w:color w:val="1B7D4A"/>
          <w:sz w:val="26"/>
        </w:rPr>
        <w:t>8.1 ¿Es rentable como negocio hoy?</w:t>
      </w:r>
    </w:p>
    <w:p>
      <w:pPr>
        <w:spacing w:after="160"/>
      </w:pPr>
      <w:r>
        <w:rPr>
          <w:b w:val="0"/>
          <w:i w:val="0"/>
          <w:sz w:val="22"/>
        </w:rPr>
        <w:t>Marginalmente, y solo en el escenario Base u Optimista. No es un negocio que genere un ingreso significativo para una persona ni retorno atractivo para un inversionista en su forma actual. No es por falta de diferenciación de producto — esa existe y es verificable (sección 3.2) — sino por cinco factores estructurales: (1) el mercado es un solo país de tamaño mediano, (2) el precio Premium es extremadamente bajo para el valor real que entrega, (3) el eCPM regional es bajo, (4) la app es de baja frecuencia de uso (poco volumen de impresiones publicitarias), y (5) la ventaja competitiva más fuerte (evidencia fotográfica) hoy es gratis para todos, en vez de estar monetizada.</w:t>
      </w:r>
    </w:p>
    <w:p>
      <w:pPr>
        <w:pStyle w:val="Heading2"/>
      </w:pPr>
      <w:r>
        <w:rPr>
          <w:color w:val="1B7D4A"/>
          <w:sz w:val="26"/>
        </w:rPr>
        <w:t>8.2 ¿Es financiable por venture capital?</w:t>
      </w:r>
    </w:p>
    <w:p>
      <w:pPr>
        <w:spacing w:after="160"/>
      </w:pPr>
      <w:r>
        <w:rPr>
          <w:b w:val="0"/>
          <w:i w:val="0"/>
          <w:sz w:val="22"/>
        </w:rPr>
        <w:t>En su forma actual, no es un caso atractivo para un fondo de venture capital tradicional. Los VC buscan mercados grandes y en expansión, ventaja competitiva defendible, y unit economics donde el valor de vida del cliente (LTV) supere ampliamente el costo de adquisición (CAC). Aquí: LTV por usuario es de centavos de dólar al mes en promedio (mezclando gratis+pagados), mientras que cualquier canal de adquisición pagada en Chile (Meta/Google UAC) cuesta usualmente USD 0,30-1,00 por instalación. Los números no cierran a menos que cambien uno o más supuestos de fondo (ver recomendaciones).</w:t>
      </w:r>
    </w:p>
    <w:p>
      <w:pPr>
        <w:pStyle w:val="Heading2"/>
      </w:pPr>
      <w:r>
        <w:rPr>
          <w:color w:val="1B7D4A"/>
          <w:sz w:val="26"/>
        </w:rPr>
        <w:t>8.3 ¿Es financiable por otras vías?</w:t>
      </w:r>
    </w:p>
    <w:p>
      <w:pPr>
        <w:spacing w:after="160"/>
      </w:pPr>
      <w:r>
        <w:rPr>
          <w:b w:val="0"/>
          <w:i w:val="0"/>
          <w:sz w:val="22"/>
        </w:rPr>
        <w:t>Sí, y esta es la recomendación concreta más accionable de este informe:</w:t>
      </w:r>
    </w:p>
    <w:p>
      <w:pPr>
        <w:pStyle w:val="ListBullet"/>
      </w:pPr>
      <w:r>
        <w:rPr>
          <w:b/>
        </w:rPr>
        <w:t xml:space="preserve">Start-Up Chile — programa Seed, track "Build": </w:t>
      </w:r>
      <w:r>
        <w:t>Financiamiento no dilutivo (100% del equity para el fundador), diseñado exactamente para el estado actual de SENERGY: idea validada con prototipo funcionando. La convocatoria 2026 (generación BIG, track "Build") entrega hasta $15.000.000 CLP (≈ USD 16.000) sin ceder participación accionaria, a cambio de 4 meses de aceleración.</w:t>
      </w:r>
    </w:p>
    <w:p>
      <w:pPr>
        <w:pStyle w:val="ListBullet"/>
      </w:pPr>
      <w:r>
        <w:rPr>
          <w:b/>
        </w:rPr>
        <w:t xml:space="preserve">CORFO / fondos de impacto social-energético: </w:t>
      </w:r>
      <w:r>
        <w:t>Dado que las tarifas más altas del país están en zonas rurales con cooperativas eléctricas (ej. LuzParral a $307 CLP/kWh, casi el doble que la Región Metropolitana), existe un ángulo genuino de impacto social — ayudar a hogares vulnerables a monitorear y reducir gasto en electricidad — que puede calzar con fondos CORFO de innovación social o eficiencia energética, o alianzas con el propio Ministerio de Energía (que ya financia 3 apps educativas gratuitas sobre energía).</w:t>
      </w:r>
    </w:p>
    <w:p>
      <w:pPr>
        <w:pStyle w:val="ListBullet"/>
      </w:pPr>
      <w:r>
        <w:rPr>
          <w:b/>
        </w:rPr>
        <w:t xml:space="preserve">Pre-seed informal: </w:t>
      </w:r>
      <w:r>
        <w:t>Family &amp; friends o un ángel individual para financiar 6-12 meses de desarrollo part-time, apostando a validar tracción antes de buscar una ronda formal.</w:t>
      </w:r>
    </w:p>
    <w:p>
      <w:pPr>
        <w:pStyle w:val="Heading1"/>
      </w:pPr>
      <w:r>
        <w:rPr>
          <w:color w:val="1B7D4A"/>
          <w:sz w:val="32"/>
        </w:rPr>
        <w:t>9. Recomendaciones Estratégicas para Aumentar la Fondeabilidad</w:t>
      </w:r>
    </w:p>
    <w:p>
      <w:pPr>
        <w:spacing w:after="160"/>
      </w:pPr>
      <w:r>
        <w:rPr>
          <w:b w:val="0"/>
          <w:i w:val="0"/>
          <w:sz w:val="22"/>
        </w:rPr>
        <w:t>Para que SENERGY deje de ser "una app útil" y pase a ser "un caso de inversión", el producto necesita uno o más de estos cambios de fondo:</w:t>
      </w:r>
    </w:p>
    <w:p>
      <w:pPr>
        <w:pStyle w:val="ListBullet"/>
      </w:pPr>
      <w:r>
        <w:rPr>
          <w:b/>
        </w:rPr>
        <w:t xml:space="preserve">1. Reposicionar el mensaje y el gancho Premium alrededor de las ventajas ya verificadas (sección 3.2), no de "sin anuncios". </w:t>
      </w:r>
      <w:r>
        <w:t>Hoy el gancho Premium es "sin anuncios" y el diferenciador más fuerte del producto (foto de respaldo para disputar cobros) es gratis para todos — al revés de como debería ser. Reposicionar el mensaje principal de la app (ASO, onboarding, pantalla de Pricing) alrededor de "nunca más pagues de más sin poder probarlo" y "sabe cuánto llevas gastado sin esperar la boleta", y evaluar mover el historial fotográfico completo (o un límite de fotos/mes) al plan Premium, subiendo el precio a algo más cercano a $2.000-3.000 CLP/mes. La sección 6 cuantifica el impacto: mismo tráfico, casi el triple de ingreso en 2 años.</w:t>
      </w:r>
    </w:p>
    <w:p>
      <w:pPr>
        <w:pStyle w:val="ListBullet"/>
      </w:pPr>
      <w:r>
        <w:rPr>
          <w:b/>
        </w:rPr>
        <w:t xml:space="preserve">2. Expandir a más países de habla hispana. </w:t>
      </w:r>
      <w:r>
        <w:t>Chile por sí solo limita el TAM a ~7,5M hogares. Extender el catálogo de tarifas a México, Colombia, Perú y Argentina multiplica el TAM por 10-15x con el mismo producto, mismo costo marginal de desarrollo (es, en esencia, una tabla de tarifas más).</w:t>
      </w:r>
    </w:p>
    <w:p>
      <w:pPr>
        <w:pStyle w:val="ListBullet"/>
      </w:pPr>
      <w:r>
        <w:rPr>
          <w:b/>
        </w:rPr>
        <w:t xml:space="preserve">3. Automatizar la captura de lecturas (OCR). </w:t>
      </w:r>
      <w:r>
        <w:t>La app hoy no compite con las distribuidoras — depende de que el usuario haga manualmente lo que ellas ya hacen gratis. Agregar lectura automática del medidor por foto (OCR/visión computacional) eliminaría la fricción de entrada de datos, que es hoy el principal punto de abandono, y sería una ventaja tecnológica real y defendible.</w:t>
      </w:r>
    </w:p>
    <w:p>
      <w:pPr>
        <w:pStyle w:val="ListBullet"/>
      </w:pPr>
      <w:r>
        <w:rPr>
          <w:b/>
        </w:rPr>
        <w:t xml:space="preserve">4. Pivotar el ángulo de venta hacia multi-propiedad / arrendadores. </w:t>
      </w:r>
      <w:r>
        <w:t>El único segmento donde "un solo lugar para todos mis medidores" es un dolor real (no resuelto por ninguna distribuidora individual) es quien administra múltiples propiedades: arrendadores, administradores de edificios, Airbnb hosts. Ese segmento tiene mayor disposición a pagar y es más fácil de alcanzar (grupos de Facebook, corredoras, asociaciones de arrendadores) que el consumidor masivo.</w:t>
      </w:r>
    </w:p>
    <w:p>
      <w:pPr>
        <w:pStyle w:val="ListBullet"/>
      </w:pPr>
      <w:r>
        <w:rPr>
          <w:b/>
        </w:rPr>
        <w:t xml:space="preserve">5. Explorar alianzas con las propias distribuidoras o el Ministerio de Energía. </w:t>
      </w:r>
      <w:r>
        <w:t>En vez de competir contra Enel/CGE, ofrecerles el aplicativo de "aporte de lectura" y presupuesto como white-label, o vender datos agregados y anonimizados de consumo/incidencias a nivel de barrio — un modelo B2B2C con ingresos mucho más predecibles que anuncios y microsuscripciones.</w:t>
      </w:r>
    </w:p>
    <w:p>
      <w:pPr>
        <w:pStyle w:val="Heading1"/>
      </w:pPr>
      <w:r>
        <w:rPr>
          <w:color w:val="1B7D4A"/>
          <w:sz w:val="32"/>
        </w:rPr>
        <w:t>10. Riesgos Clave</w:t>
      </w:r>
    </w:p>
    <w:p>
      <w:pPr>
        <w:pStyle w:val="ListBullet"/>
      </w:pPr>
      <w:r>
        <w:rPr>
          <w:b/>
        </w:rPr>
        <w:t xml:space="preserve">Riesgo competitivo: </w:t>
      </w:r>
      <w:r>
        <w:t>Nada impide que Enel o CGE agreguen su propio campo de foto de respaldo a "Aporte de Lectura" — es una función simple de construir para ellos. El moat de SENERGY hoy es de producto y de mensaje, no de tecnología difícil de copiar; la ventana para consolidar la marca como "la app para respaldar tu consumo" antes de que un incumbente la copie es limitada.</w:t>
      </w:r>
    </w:p>
    <w:p>
      <w:pPr>
        <w:pStyle w:val="ListBullet"/>
      </w:pPr>
      <w:r>
        <w:rPr>
          <w:b/>
        </w:rPr>
        <w:t xml:space="preserve">Riesgo regulatorio/tecnológico: </w:t>
      </w:r>
      <w:r>
        <w:t>El recambio de medidores inteligentes, aunque lento, reduce estructuralmente la necesidad de anotar lecturas a mano en el mediano-largo plazo.</w:t>
      </w:r>
    </w:p>
    <w:p>
      <w:pPr>
        <w:pStyle w:val="ListBullet"/>
      </w:pPr>
      <w:r>
        <w:rPr>
          <w:b/>
        </w:rPr>
        <w:t xml:space="preserve">Riesgo de monetización: </w:t>
      </w:r>
      <w:r>
        <w:t>Bajo eCPM regional + baja frecuencia de uso significa que escalar usuarios gratis no genera ingresos proporcionales — cualquier estrategia de crecimiento debe apuntar a conversión Premium, no a volumen de impresiones.</w:t>
      </w:r>
    </w:p>
    <w:p>
      <w:pPr>
        <w:pStyle w:val="ListBullet"/>
      </w:pPr>
      <w:r>
        <w:rPr>
          <w:b/>
        </w:rPr>
        <w:t xml:space="preserve">Riesgo de adquisición: </w:t>
      </w:r>
      <w:r>
        <w:t>Sin presupuesto de marketing, el crecimiento depende de ASO/boca a boca, que es lento e impredecible; competir por instalaciones contra apps oficiales preinstaladas o promovidas por la distribuidora es cuesta arriba.</w:t>
      </w:r>
    </w:p>
    <w:p>
      <w:pPr>
        <w:pStyle w:val="ListBullet"/>
      </w:pPr>
      <w:r>
        <w:rPr>
          <w:b/>
        </w:rPr>
        <w:t xml:space="preserve">Riesgo operacional: </w:t>
      </w:r>
      <w:r>
        <w:t>Un solo desarrollador manteniendo infraestructura (Firebase, Cloudinary, Cloud Functions, EAS) — sin un plan de contingencia si el volumen crece más rápido que la capacidad de mantenimiento.</w:t>
      </w:r>
    </w:p>
    <w:p>
      <w:pPr>
        <w:pStyle w:val="Heading1"/>
      </w:pPr>
      <w:r>
        <w:rPr>
          <w:color w:val="1B7D4A"/>
          <w:sz w:val="32"/>
        </w:rPr>
        <w:t>11. Conclusión Final</w:t>
      </w:r>
    </w:p>
    <w:p>
      <w:pPr>
        <w:spacing w:after="160"/>
      </w:pPr>
      <w:r>
        <w:rPr>
          <w:b w:val="0"/>
          <w:i w:val="0"/>
          <w:sz w:val="22"/>
        </w:rPr>
        <w:t>SENERGY es un producto bien construido técnicamente, que resuelve un problema real y cuantificable (el gasto eléctrico en Chile está subiendo, y las herramientas actuales para gestionarlo son fragmentadas por distribuidora), y que sí tiene diferenciación verificable frente al incumbente gratuito — visibilidad bajo demanda y, sobre todo, evidencia fotográfica propia para disputar cobros. Pero "tener un buen producto" y "ser un caso de inversión atractivo" son cosas distintas mientras esa ventaja exista en el código y no en el modelo de negocio. Hoy, sin corregir eso, el techo de ingresos en Chile-only es bajo — del orden de cientos a pocos miles de dólares al año en los primeros 24 meses sin inversión en adquisición. Corrigiendo el reposicionamiento (sección 9), ese techo casi se triplica con el mismo tráfico. Ninguno de los dos números por sí solo es "impacto país" todavía, pero el segundo es un punto de partida mucho más defendible para pedir financiamiento.</w:t>
      </w:r>
    </w:p>
    <w:p>
      <w:pPr>
        <w:spacing w:before="120" w:after="200"/>
      </w:pPr>
      <w:r>
        <w:rPr>
          <w:b/>
          <w:color w:val="1B7D4A"/>
        </w:rPr>
        <w:t xml:space="preserve">Recomendación concreta:  </w:t>
      </w:r>
      <w:r>
        <w:rPr>
          <w:i/>
        </w:rPr>
        <w:t>No buscar una ronda de venture capital tradicional todavía. Primero, reposicionar el mensaje y el precio Premium alrededor de la evidencia fotográfica (sección 9, punto 1) — es gratis de implementar y el cambio de ingreso proyectado es el mayor de todas las palancas identificadas. Segundo, postular a Start-Up Chile (track Build, ~USD 16.000 no dilutivo) para financiar 4 meses enfocados en expansión a un segundo país y automatización de lectura (OCR). Con datos reales de conversión post-reposicionamiento, recién ahí evaluar si el caso para una ronda de inversión formal se sostiene.</w:t>
      </w:r>
    </w:p>
    <w:p>
      <w:pPr>
        <w:spacing w:after="160"/>
      </w:pPr>
      <w:r>
        <w:rPr>
          <w:b w:val="0"/>
          <w:i w:val="0"/>
          <w:sz w:val="22"/>
        </w:rPr>
      </w:r>
    </w:p>
    <w:p>
      <w:pPr>
        <w:spacing w:after="160"/>
      </w:pPr>
      <w:r>
        <w:rPr>
          <w:b/>
          <w:i w:val="0"/>
          <w:sz w:val="20"/>
        </w:rPr>
        <w:t>Fuentes principales consultadas</w:t>
      </w:r>
    </w:p>
    <w:p>
      <w:pPr>
        <w:pStyle w:val="ListBullet"/>
      </w:pPr>
      <w:r>
        <w:rPr>
          <w:color w:val="6B7280"/>
          <w:sz w:val="19"/>
        </w:rPr>
        <w:t>Comisión Nacional de Energía (CNE) — cne.cl, estadísticas y clientes regulados</w:t>
      </w:r>
    </w:p>
    <w:p>
      <w:pPr>
        <w:pStyle w:val="ListBullet"/>
      </w:pPr>
      <w:r>
        <w:rPr>
          <w:color w:val="6B7280"/>
          <w:sz w:val="19"/>
        </w:rPr>
        <w:t>Biblioteca del Congreso Nacional (BCN) — resultados financieros distribución eléctrica</w:t>
      </w:r>
    </w:p>
    <w:p>
      <w:pPr>
        <w:pStyle w:val="ListBullet"/>
      </w:pPr>
      <w:r>
        <w:rPr>
          <w:color w:val="6B7280"/>
          <w:sz w:val="19"/>
        </w:rPr>
        <w:t>Ministerio de Energía de Chile — energia.gob.cl, medidores inteligentes y apps educativas</w:t>
      </w:r>
    </w:p>
    <w:p>
      <w:pPr>
        <w:pStyle w:val="ListBullet"/>
      </w:pPr>
      <w:r>
        <w:rPr>
          <w:color w:val="6B7280"/>
          <w:sz w:val="19"/>
        </w:rPr>
        <w:t>Enel Chile / CGE — apps oficiales de clientes (Google Play / App Store / sitios corporativos)</w:t>
      </w:r>
    </w:p>
    <w:p>
      <w:pPr>
        <w:pStyle w:val="ListBullet"/>
      </w:pPr>
      <w:r>
        <w:rPr>
          <w:color w:val="6B7280"/>
          <w:sz w:val="19"/>
        </w:rPr>
        <w:t>DataReportal "Digital 2026: Chile"; estudios de penetración móvil (BYYD, Magma Translation)</w:t>
      </w:r>
    </w:p>
    <w:p>
      <w:pPr>
        <w:pStyle w:val="ListBullet"/>
      </w:pPr>
      <w:r>
        <w:rPr>
          <w:color w:val="6B7280"/>
          <w:sz w:val="19"/>
        </w:rPr>
        <w:t>Benchmarks de industria de monetización móvil 2026 (Playwire, MonetizeMore, AdPumb, Statista) para eCPM y conversión freemium</w:t>
      </w:r>
    </w:p>
    <w:p>
      <w:pPr>
        <w:pStyle w:val="ListBullet"/>
      </w:pPr>
      <w:r>
        <w:rPr>
          <w:color w:val="6B7280"/>
          <w:sz w:val="19"/>
        </w:rPr>
        <w:t>Start-Up Chile — convocatoria Seed / generación BIG 2026, montos de financiamiento equity-free</w:t>
      </w:r>
    </w:p>
    <w:p>
      <w:pPr>
        <w:pStyle w:val="ListBullet"/>
      </w:pPr>
      <w:r>
        <w:rPr>
          <w:color w:val="6B7280"/>
          <w:sz w:val="19"/>
        </w:rPr>
        <w:t>Calc.cl / Cuantomecuesta.com — estimaciones de cuenta eléctrica promedio en Chile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