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Mineração de Dados Aplicada à Predição de Inadimplência em Clientes de Cartão de Crédito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Atividade 4 — Pré-processamento e dicionário de dados (Seções 3.3 e 3.4)</w:t>
      </w:r>
    </w:p>
    <w:p>
      <w:pPr>
        <w:pStyle w:val="Heading2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 Análise Descritiva dos Dados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Antes de qualquer transformação, a base foi explorada com o objetivo de caracterizar a distribuição das variáveis, quantificar inconsistências de codificação e identificar os padrões que orientariam as decisões de pré-processamento descritas na Seção 3.4. Toda a análise desta seção foi conduzida sobre a base bruta, com 30.000 registros e 25 colunas.</w:t>
      </w:r>
    </w:p>
    <w:p>
      <w:pPr>
        <w:pStyle w:val="Heading3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3.3.1 Integridade e completude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base não apresenta valores ausentes: a varredura das 750.000 células (30.000 × 25) retornou zero ocorrências nulas, o que dispensa qualquer estratégia de imputação. Foram identificados, contudo,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35 registros duplicados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quando desconsiderado o identificador </w:t>
      </w:r>
      <w:r>
        <w:rPr>
          <w:rFonts w:ascii="Consolas" w:cs="Consolas" w:eastAsia="Consolas" w:hAnsi="Consolas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pares de clientes com valores idênticos nas 24 colunas restantes. Como o </w:t>
      </w:r>
      <w:r>
        <w:rPr>
          <w:rFonts w:ascii="Consolas" w:cs="Consolas" w:eastAsia="Consolas" w:hAnsi="Consolas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um contador sequencial sem conteúdo informativo, esses registros representam a mesma observação repetida e são tratados na Seção 3.4.</w:t>
      </w:r>
    </w:p>
    <w:p>
      <w:pPr>
        <w:pStyle w:val="Heading3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3.3.2 Distribuição da variável-alvo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variável-alvo </w:t>
      </w:r>
      <w:r>
        <w:rPr>
          <w:rFonts w:ascii="Consolas" w:cs="Consolas" w:eastAsia="Consolas" w:hAnsi="Consolas"/>
          <w:sz w:val="22"/>
          <w:szCs w:val="22"/>
        </w:rPr>
        <w:t xml:space="preserve">default payment next month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distribui-se em 23.364 clientes adimplentes (77,88%) e 6.636 inadimplentes (22,12%), conforme a Figura 1. A razão entre as classes é de aproximadamente 3,5:1.</w:t>
      </w:r>
    </w:p>
    <w:p>
      <w:pPr>
        <w:spacing w:after="60" w:before="200"/>
        <w:jc w:val="center"/>
      </w:pPr>
      <w:r>
        <w:drawing>
          <wp:inline distT="0" distB="0" distL="0" distR="0">
            <wp:extent cx="3238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— Distribuição da variável-alvo.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desbalanceamento é moderado, mas suficiente para inviabilizar a acurácia global como métrica de avaliação: um classificador trivial que atribuísse a classe majoritária a todos os clientes alcançaria 77,88% de acurácia sem identificar um único inadimplente. Esse resultado sustenta duas decisões metodológicas do trabalho: a adoção de métricas sensíveis à classe minoritária (Recall, F1 e AUC-ROC), coerente com a assimetria de custos discutida na Seção 2.1.3, e a aplicação de técnicas de reamostragem restritas ao conjunto de treino, conforme detalhado na Seção 3.4.</w:t>
      </w:r>
    </w:p>
    <w:p>
      <w:pPr>
        <w:pStyle w:val="Heading3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3.3.3 Variáveis quantitativas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Tabela 3 resume as estatísticas descritivas das variáveis contínuas </w:t>
      </w:r>
      <w:r>
        <w:rPr>
          <w:rFonts w:ascii="Consolas" w:cs="Consolas" w:eastAsia="Consolas" w:hAnsi="Consolas"/>
          <w:sz w:val="22"/>
          <w:szCs w:val="22"/>
        </w:rPr>
        <w:t xml:space="preserve">LIMIT_BAL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AGE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spacing w:after="24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— Estatísticas descritivas de LIMIT_BAL e AGE.</w:t>
      </w:r>
    </w:p>
    <w:tbl>
      <w:tblPr>
        <w:tblW w:type="dxa" w:w="8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3000"/>
        <w:gridCol w:w="24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Estatística</w:t>
            </w:r>
          </w:p>
        </w:tc>
        <w:tc>
          <w:tcPr>
            <w:tcW w:type="dxa" w:w="3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LIMIT_BAL (NT$)</w:t>
            </w:r>
          </w:p>
        </w:tc>
        <w:tc>
          <w:tcPr>
            <w:tcW w:type="dxa" w:w="2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AGE (anos)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167.484,32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35,49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Desvio-padrão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129.747,66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9,22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Mínimo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10.000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1º quartil (Q1)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50.000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Mediana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140.000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3º quartil (Q3)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240.000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Máximo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1.000.000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</w:tr>
    </w:tbl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Ambas as distribuições são assimétricas à direita: a média supera a mediana em </w:t>
      </w:r>
      <w:r>
        <w:rPr>
          <w:rFonts w:ascii="Consolas" w:cs="Consolas" w:eastAsia="Consolas" w:hAnsi="Consolas"/>
          <w:sz w:val="22"/>
          <w:szCs w:val="22"/>
        </w:rPr>
        <w:t xml:space="preserve">LIMIT_BAL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(167.484 contra 140.000) e em </w:t>
      </w:r>
      <w:r>
        <w:rPr>
          <w:rFonts w:ascii="Consolas" w:cs="Consolas" w:eastAsia="Consolas" w:hAnsi="Consolas"/>
          <w:sz w:val="22"/>
          <w:szCs w:val="22"/>
        </w:rPr>
        <w:t xml:space="preserve">AGE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(35,49 contra 34). Aplicando o critério do intervalo interquartil (limites em Q1 − 1,5·IQR e Q3 + 1,5·IQR), identificam-se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167 outliers em LIMIT_BAL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(0,56% da base, todos acima de NT$ 525.000)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272 outliers em AGE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(0,91%, todos acima de 60,5 anos), representados na Figura 2. Não há outliers no limite inferior de nenhuma das duas variáveis.</w:t>
      </w:r>
    </w:p>
    <w:p>
      <w:pPr>
        <w:spacing w:after="60" w:before="200"/>
        <w:jc w:val="center"/>
      </w:pPr>
      <w:r>
        <w:drawing>
          <wp:inline distT="0" distB="0" distL="0" distR="0">
            <wp:extent cx="43815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2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— Boxplots de LIMIT_BAL e AGE, com destaque para os valores classificados como atípicos pelo critério IQR.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Os valores das faturas (</w:t>
      </w:r>
      <w:r>
        <w:rPr>
          <w:rFonts w:ascii="Consolas" w:cs="Consolas" w:eastAsia="Consolas" w:hAnsi="Consolas"/>
          <w:sz w:val="22"/>
          <w:szCs w:val="22"/>
        </w:rPr>
        <w:t xml:space="preserve">BILL_AMT1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</w:t>
      </w:r>
      <w:r>
        <w:rPr>
          <w:rFonts w:ascii="Consolas" w:cs="Consolas" w:eastAsia="Consolas" w:hAnsi="Consolas"/>
          <w:sz w:val="22"/>
          <w:szCs w:val="22"/>
        </w:rPr>
        <w:t xml:space="preserve">BILL_AMT6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apresentam dispersão bem mais acentuada, com desvios-padrão superiores a NT$ 59.000 e máximos acima de NT$ 960.000. Registram-se ainda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3.932 células com fatura negativa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distribuídas por 1.930 clientes, e 18.105 células com fatura igual a zero. A fatura negativa não é erro de coleta: indica saldo credor do cliente junto ao emissor, situação que ocorre após pagamento a maior ou estorno. Essa característica tem consequência direta sobre a engenharia de atributos e é tratada explicitamente na Seção 3.4.</w:t>
      </w:r>
    </w:p>
    <w:p>
      <w:pPr>
        <w:pStyle w:val="Heading3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3.3.4 Variáveis categóricas e consistência com o dicionário oficial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confronto entre os valores observados e o dicionário original da base revela códigos não documentados em dois atributos.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o dicionário define 1 (pós-graduação), 2 (universidade), 3 (ensino médio) e 4 (outros); a base contém ainda os códigos 0 (14 registros), 5 (280) e 6 (51), totalizando 345 registros (1,15%) sem definição documentada.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MARRIAGE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cujo dicionário define 1 (casado), 2 (solteiro) e 3 (outros), o código 0 aparece em 54 registros (0,18%), também sem definição.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Figura 3 apresenta a taxa de inadimplência por atributo demográfico. Os códigos não documentados de </w:t>
      </w:r>
      <w:r>
        <w:rPr>
          <w:rFonts w:ascii="Consolas" w:cs="Consolas" w:eastAsia="Consolas" w:hAnsi="Consolas"/>
          <w:sz w:val="22"/>
          <w:szCs w:val="22"/>
        </w:rPr>
        <w:t xml:space="preserve">EDUCATION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(0, 5 e 6) exibem taxas de 0%, 6,4% e 15,7%, próximas da categoria 4 — “outros” (5,7%) — e distantes das categorias regulares (19,2% a 25,2%), o que ampara a decisão de consolidá-los nessa categoria residual.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— Taxa de inadimplência por atributo demográfico.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poder discriminante das variáveis demográficas é baixo: a diferença entre homens (24,2%) e mulheres (20,8%) é de 3,4 pontos percentuais, e entre casados (23,5%) e solteiros (20,9%), de 2,6 pontos. Nenhuma dessas variáveis se afasta substancialmente da média geral de 22,1%.</w:t>
      </w:r>
    </w:p>
    <w:p>
      <w:pPr>
        <w:pStyle w:val="Heading3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3.3.5 Histórico de pagamento e relação com o alvo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comportamento observado nas variáveis de status de pagamento é o achado mais relevante da exploração. A Figura 4 mostra a taxa de inadimplência para cada valor de </w:t>
      </w:r>
      <w:r>
        <w:rPr>
          <w:rFonts w:ascii="Consolas" w:cs="Consolas" w:eastAsia="Consolas" w:hAnsi="Consolas"/>
          <w:sz w:val="22"/>
          <w:szCs w:val="22"/>
        </w:rPr>
        <w:t xml:space="preserve">PAY_1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(status do mês mais recente).</w:t>
      </w:r>
    </w:p>
    <w:p>
      <w:pPr>
        <w:spacing w:after="60" w:before="200"/>
        <w:jc w:val="center"/>
      </w:pPr>
      <w:r>
        <w:drawing>
          <wp:inline distT="0" distB="0" distL="0" distR="0">
            <wp:extent cx="409575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— Taxa de inadimplência por status de pagamento no mês mais recente.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Há uma descontinuidade nítida entre os códigos não positivos e os positivos: os clientes com </w:t>
      </w:r>
      <w:r>
        <w:rPr>
          <w:rFonts w:ascii="Consolas" w:cs="Consolas" w:eastAsia="Consolas" w:hAnsi="Consolas"/>
          <w:sz w:val="22"/>
          <w:szCs w:val="22"/>
        </w:rPr>
        <w:t xml:space="preserve">PAY_1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igual a −2, −1 ou 0 apresentam taxas de 13,2%, 16,8% e 12,8%, abaixo da média geral; a partir de um mês de atraso a taxa salta para 34,0% e, com dois meses, atinge 69,1%. Ou seja, o simples fato de o cliente registrar atraso no mês corrente aproximadamente triplica a probabilidade de inadimplência no mês seguinte. Esse padrão justifica a criação de um atributo que sintetize a recorrência de atrasos ao longo da janela de seis meses, descrito na Seção 3.4.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Figura 5 ordena as variáveis pela correlação linear de Pearson com o alvo e confirma a hierarquia sugerida acima.</w:t>
      </w:r>
    </w:p>
    <w:p>
      <w:pPr>
        <w:spacing w:after="60" w:before="200"/>
        <w:jc w:val="center"/>
      </w:pPr>
      <w:r>
        <w:drawing>
          <wp:inline distT="0" distB="0" distL="0" distR="0">
            <wp:extent cx="31432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— Correlação de Pearson entre as variáveis de entrada e a variável-alvo.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seis variáveis de status de pagamento ocupam as primeiras posições, com correlação decrescente conforme o mês se distancia do período de predição (</w:t>
      </w:r>
      <w:r>
        <w:rPr>
          <w:rFonts w:ascii="Consolas" w:cs="Consolas" w:eastAsia="Consolas" w:hAnsi="Consolas"/>
          <w:sz w:val="22"/>
          <w:szCs w:val="22"/>
        </w:rPr>
        <w:t xml:space="preserve">PAY_1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0,325; </w:t>
      </w:r>
      <w:r>
        <w:rPr>
          <w:rFonts w:ascii="Consolas" w:cs="Consolas" w:eastAsia="Consolas" w:hAnsi="Consolas"/>
          <w:sz w:val="22"/>
          <w:szCs w:val="22"/>
        </w:rPr>
        <w:t xml:space="preserve">PAY_2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0,264; </w:t>
      </w:r>
      <w:r>
        <w:rPr>
          <w:rFonts w:ascii="Consolas" w:cs="Consolas" w:eastAsia="Consolas" w:hAnsi="Consolas"/>
          <w:sz w:val="22"/>
          <w:szCs w:val="22"/>
        </w:rPr>
        <w:t xml:space="preserve">PAY_6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0,187) — evidência empírica de que a informação comportamental recente é a mais preditiva, em linha com o resultado reportado por Choi et al. (2025) [5]. </w:t>
      </w:r>
      <w:r>
        <w:rPr>
          <w:rFonts w:ascii="Consolas" w:cs="Consolas" w:eastAsia="Consolas" w:hAnsi="Consolas"/>
          <w:sz w:val="22"/>
          <w:szCs w:val="22"/>
        </w:rPr>
        <w:t xml:space="preserve">LIMIT_BAL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aparece na sequência, com correlação negativa de −0,154: limites maiores são concedidos a clientes de melhor perfil de risco.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 extremo oposto, as seis variáveis de valor de fatura (</w:t>
      </w:r>
      <w:r>
        <w:rPr>
          <w:rFonts w:ascii="Consolas" w:cs="Consolas" w:eastAsia="Consolas" w:hAnsi="Consolas"/>
          <w:sz w:val="22"/>
          <w:szCs w:val="22"/>
        </w:rPr>
        <w:t xml:space="preserve">BILL_AMT1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</w:t>
      </w:r>
      <w:r>
        <w:rPr>
          <w:rFonts w:ascii="Consolas" w:cs="Consolas" w:eastAsia="Consolas" w:hAnsi="Consolas"/>
          <w:sz w:val="22"/>
          <w:szCs w:val="22"/>
        </w:rPr>
        <w:t xml:space="preserve">BILL_AMT6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apresentam correlação praticamente nula com o alvo, todas com |r| &lt; 0,02. O valor absoluto faturado, isolado, não discrimina inadimplência — o que faz sentido do ponto de vista do negócio, já que uma fatura de NT$ 50.000 representa risco distinto para um cliente com limite de NT$ 60.000 e para outro com limite de NT$ 500.000. Essa constatação motiva a construção de uma variável de utilização relativa do limite, apresentada na Seção 3.4, e coloca as variáveis de fatura como candidatas naturais à etapa de redução de dimensionalidade.</w:t>
      </w:r>
    </w:p>
    <w:p>
      <w:pPr>
        <w:pStyle w:val="Heading2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3.4 Pré-processamento dos Dados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Esta seção descreve a preparação da base para a etapa de mineração, seguindo a fase de Data Preparation do CRISP-DM. O pipeline foi organizado em cinco etapas encadeadas — limpeza, transformação, redução, separação treino/teste e escalonamento. A ordem das etapas não é arbitrária: a separação treino/teste antecede o escalonamento e qualquer técnica de balanceamento, precisamente para impedir vazamento de informação do conjunto de teste para o de treino.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Tabela 4 resume as etapas e seus efeitos quantitativos sobre a base.</w:t>
      </w:r>
    </w:p>
    <w:p>
      <w:pPr>
        <w:spacing w:after="24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4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— Síntese do pipeline de pré-processamento.</w:t>
      </w:r>
    </w:p>
    <w:tbl>
      <w:tblPr>
        <w:tblW w:type="dxa" w:w="81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600"/>
        <w:gridCol w:w="1700"/>
        <w:gridCol w:w="3200"/>
        <w:gridCol w:w="26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3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Operação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Limpeza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Remoção do identificador ID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 → 24 colunas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Limpeza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Remoção de registros duplicados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30.000 → 29.965 registros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Limpeza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Padronização do rótulo PAY_0 → PAY_1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Limpeza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Consolidação de categorias não documentadas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399 registros recodificados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Limpeza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Decisão sobre outliers (IQR)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439 valores atípicos mantidos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Transformação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Criação de 4 atributos derivados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 → 28 colunas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Transformação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One-hot encoding de 3 categóricas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 → 31 colunas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Redução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Diagnóstico de atributos redundantes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registrado para a modelagem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Split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Divisão estratificada 80/20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23.972 treino / 5.993 teste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Escalonamento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StandardScaler ajustado só no treino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 preditoras + alvo</w:t>
            </w:r>
          </w:p>
        </w:tc>
      </w:tr>
    </w:tbl>
    <w:p>
      <w:pPr>
        <w:pStyle w:val="Heading3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3.4.1 Limpeza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Valores ausentes.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Conforme apurado na Seção 3.3.1, a base não contém valores nulos. Nenhuma estratégia de imputação foi necessária.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Remoção do identificador.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coluna </w:t>
      </w:r>
      <w:r>
        <w:rPr>
          <w:rFonts w:ascii="Consolas" w:cs="Consolas" w:eastAsia="Consolas" w:hAnsi="Consolas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um contador sequencial de 1 a 30.000, sem relação com o comportamento do cliente. Mantida, seria interpretada pelos algoritmos como variável numérica ordenada, introduzindo ruído. Foi removida como primeira operação do pipeline.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Registros duplicados.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Após a remoção do </w:t>
      </w:r>
      <w:r>
        <w:rPr>
          <w:rFonts w:ascii="Consolas" w:cs="Consolas" w:eastAsia="Consolas" w:hAnsi="Consolas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35 registros mostraram-se idênticos a outros já presentes na base nas 24 colunas restantes. Duplicatas não acrescentam informação e, caso a mesma observação fosse alocada ao conjunto de treino e ao de teste, produziriam uma estimativa otimista do desempenho do modelo. A base passou a 29.965 registros.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Padronização de nomenclatura.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base original nomeia o status do mês mais recente como </w:t>
      </w:r>
      <w:r>
        <w:rPr>
          <w:rFonts w:ascii="Consolas" w:cs="Consolas" w:eastAsia="Consolas" w:hAnsi="Consolas"/>
          <w:sz w:val="22"/>
          <w:szCs w:val="22"/>
        </w:rPr>
        <w:t xml:space="preserve">PAY_0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enquanto as demais janelas seguem </w:t>
      </w:r>
      <w:r>
        <w:rPr>
          <w:rFonts w:ascii="Consolas" w:cs="Consolas" w:eastAsia="Consolas" w:hAnsi="Consolas"/>
          <w:sz w:val="22"/>
          <w:szCs w:val="22"/>
        </w:rPr>
        <w:t xml:space="preserve">PAY_2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</w:t>
      </w:r>
      <w:r>
        <w:rPr>
          <w:rFonts w:ascii="Consolas" w:cs="Consolas" w:eastAsia="Consolas" w:hAnsi="Consolas"/>
          <w:sz w:val="22"/>
          <w:szCs w:val="22"/>
        </w:rPr>
        <w:t xml:space="preserve">PAY_6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descontinuidade que quebra a correspondência com </w:t>
      </w:r>
      <w:r>
        <w:rPr>
          <w:rFonts w:ascii="Consolas" w:cs="Consolas" w:eastAsia="Consolas" w:hAnsi="Consolas"/>
          <w:sz w:val="22"/>
          <w:szCs w:val="22"/>
        </w:rPr>
        <w:t xml:space="preserve">BILL_AMT1..6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PAY_AMT1..6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A variável foi renomeada para </w:t>
      </w:r>
      <w:r>
        <w:rPr>
          <w:rFonts w:ascii="Consolas" w:cs="Consolas" w:eastAsia="Consolas" w:hAnsi="Consolas"/>
          <w:sz w:val="22"/>
          <w:szCs w:val="22"/>
        </w:rPr>
        <w:t xml:space="preserve">PAY_1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de modo que o índice i passe a designar o mesmo mês em todos os três blocos de variáveis temporais.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Categorias não documentadas.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Os 345 registros com </w:t>
      </w:r>
      <w:r>
        <w:rPr>
          <w:rFonts w:ascii="Consolas" w:cs="Consolas" w:eastAsia="Consolas" w:hAnsi="Consolas"/>
          <w:sz w:val="22"/>
          <w:szCs w:val="22"/>
        </w:rPr>
        <w:t xml:space="preserve">EDUCATION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nos códigos 0, 5 e 6 foram consolidados na categoria 4 (“outros”), e os 54 registros com </w:t>
      </w:r>
      <w:r>
        <w:rPr>
          <w:rFonts w:ascii="Consolas" w:cs="Consolas" w:eastAsia="Consolas" w:hAnsi="Consolas"/>
          <w:sz w:val="22"/>
          <w:szCs w:val="22"/>
        </w:rPr>
        <w:t xml:space="preserve">MARRIAGE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igual a 0 foram consolidados na categoria 3 (“outros”). A decisão de consolidar em vez de excluir preserva 1,33% da base que, de outro modo, seria descartada por uma falha de documentação, e não por qualquer problema com o próprio registro. A consolidação nas categorias residuais — em vez da criação de uma categoria nova — apoia-se na evidência da Seção 3.3.4: as taxas de inadimplência desses códigos são próximas das observadas nas categorias “outros” e distantes das categorias regulares.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Outliers.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O critério IQR identificou 167 valores atípicos em </w:t>
      </w:r>
      <w:r>
        <w:rPr>
          <w:rFonts w:ascii="Consolas" w:cs="Consolas" w:eastAsia="Consolas" w:hAnsi="Consolas"/>
          <w:sz w:val="22"/>
          <w:szCs w:val="22"/>
        </w:rPr>
        <w:t xml:space="preserve">LIMIT_BAL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272 em </w:t>
      </w:r>
      <w:r>
        <w:rPr>
          <w:rFonts w:ascii="Consolas" w:cs="Consolas" w:eastAsia="Consolas" w:hAnsi="Consolas"/>
          <w:sz w:val="22"/>
          <w:szCs w:val="22"/>
        </w:rPr>
        <w:t xml:space="preserve">AGE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(Seção 3.3.3).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Optou-se por não removê-los.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São clientes de limite elevado ou de faixa etária mais avançada — um subgrupo real da população-alvo, não erro de coleta. Sua exclusão comprometeria a capacidade de generalização do modelo justamente para o perfil de maior exposição financeira por cliente. O efeito da diferença de escala é neutralizado pelo escalonamento (Seção 3.4.5), e os modelos baseados em árvore e boosting previstos no benchmark são, por construção, invariantes a valores extremos em variáveis contínuas.</w:t>
      </w:r>
    </w:p>
    <w:p>
      <w:pPr>
        <w:pStyle w:val="Heading3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3.4.2 Transformação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Quatro atributos foram derivados a partir das variáveis originais, com o objetivo de expressar em uma única medida padrões que, na base bruta, estão distribuídos por seis colunas mensais. A Tabela 5 apresenta as definições.</w:t>
      </w:r>
    </w:p>
    <w:p>
      <w:pPr>
        <w:spacing w:after="24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5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— Atributos derivados.</w:t>
      </w:r>
    </w:p>
    <w:tbl>
      <w:tblPr>
        <w:tblW w:type="dxa" w:w="81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100"/>
        <w:gridCol w:w="3100"/>
        <w:gridCol w:w="2900"/>
      </w:tblGrid>
      <w:tr>
        <w:trPr>
          <w:tblHeader/>
        </w:trPr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Atributo</w:t>
            </w:r>
          </w:p>
        </w:tc>
        <w:tc>
          <w:tcPr>
            <w:tcW w:type="dxa" w:w="3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Definição</w:t>
            </w:r>
          </w:p>
        </w:tc>
        <w:tc>
          <w:tcPr>
            <w:tcW w:type="dxa" w:w="2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Motivação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AVG_UTIL_RATIO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Média de BILL_AMT1..6 dividida por LIMIT_BAL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Mede a proximidade do teto de crédito; torna o valor faturado comparável entre clientes de limites distintos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AVG_PAY_RATIO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Média, entre os meses com fatura positiva, de PAY_AMTi / BILL_AMTi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Mede a fração da dívida efetivamente amortizada mês a mês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SEM_FATURA_POSITIVA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se nenhum dos seis meses teve fatura positiva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Distingue ausência de dívida de inadimplemento total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N_MESES_ATRASO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Contagem de meses com PAY_i &gt; 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Sintetiza a recorrência do atraso na janela de seis meses</w:t>
            </w:r>
          </w:p>
        </w:tc>
      </w:tr>
    </w:tbl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Utilização média do limite.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Seção 3.3.5 mostrou que o valor absoluto da fatura tem correlação praticamente nula com o alvo (|r| &lt; 0,02). A razão entre fatura e limite corrige o problema: exprime o comprometimento relativo da linha de crédito, indicador consagrado em behavior scoring. Valores negativos são preservados, pois representam saldo credor do cliente — informação legítima de baixo risco.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média de amortização.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O cálculo da razão entre o valor pago e o valor faturado exige cuidado com os meses em que não há dívida a amortizar. Das 29.965 linhas, 1.930 clientes possuem ao menos uma fatura negativa e há 18.105 células com fatura igual a zero. Nesses meses a razão é indefinida — dividir por zero, ou tomar o módulo de uma fatura negativa, produziria um valor que inverte o significado financeiro do indicador. A solução adotada foi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excluir da média os meses sem fatura positiva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calculando o indicador apenas sobre os meses em que efetivamente existia dívida.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Indicador de ausência de fatura.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Em 936 clientes (3,12% da base) nenhum dos seis meses apresentou fatura positiva, de modo que </w:t>
      </w:r>
      <w:r>
        <w:rPr>
          <w:rFonts w:ascii="Consolas" w:cs="Consolas" w:eastAsia="Consolas" w:hAnsi="Consolas"/>
          <w:sz w:val="22"/>
          <w:szCs w:val="22"/>
        </w:rPr>
        <w:t xml:space="preserve">AVG_PAY_RATIO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fica indefinido. Atribuir simplesmente o valor 0 a esses casos os tornaria indistinguíveis dos clientes que deviam e nada pagaram — situações opostas em termos de risco. Criou-se, por isso, a variável binária </w:t>
      </w:r>
      <w:r>
        <w:rPr>
          <w:rFonts w:ascii="Consolas" w:cs="Consolas" w:eastAsia="Consolas" w:hAnsi="Consolas"/>
          <w:sz w:val="22"/>
          <w:szCs w:val="22"/>
        </w:rPr>
        <w:t xml:space="preserve">SEM_FATURA_POSITIVA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que marca explicitamente esses registros e permite ao modelo separar as duas condições.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Winsorização.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distribuição de </w:t>
      </w:r>
      <w:r>
        <w:rPr>
          <w:rFonts w:ascii="Consolas" w:cs="Consolas" w:eastAsia="Consolas" w:hAnsi="Consolas"/>
          <w:sz w:val="22"/>
          <w:szCs w:val="22"/>
        </w:rPr>
        <w:t xml:space="preserve">AVG_PAY_RATIO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apresenta cauda direita extrema: o percentil 95 situa-se em 4,64, mas o valor máximo ultrapassa 4.400, resultado de meses em que a fatura foi de poucos NT$ e o pagamento, muito superior. Os 1.349 registros (4,50%) com razão acima de 5 foram winsorizados nesse limite. O corte preserva a ordenação entre clientes que pagam acima do faturado sem permitir que um punhado de valores extremos domine a média e o desvio-padrão usados no escalonamento.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Recorrência de atraso.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N_MESES_ATRASO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condensa em um único inteiro de 0 a 6 o padrão que a Figura 4 evidencia: não apenas o atraso corrente, mas sua repetição ao longo da janela observada. A variável </w:t>
      </w:r>
      <w:r>
        <w:rPr>
          <w:rFonts w:ascii="Consolas" w:cs="Consolas" w:eastAsia="Consolas" w:hAnsi="Consolas"/>
          <w:sz w:val="22"/>
          <w:szCs w:val="22"/>
        </w:rPr>
        <w:t xml:space="preserve">PAY_1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mantida sem alteração, por ser individualmente a de maior correlação com o alvo.</w:t>
      </w:r>
    </w:p>
    <w:p>
      <w:pPr>
        <w:pStyle w:val="Heading3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3.4.3 Codificação de variáveis categóricas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variáveis </w:t>
      </w:r>
      <w:r>
        <w:rPr>
          <w:rFonts w:ascii="Consolas" w:cs="Consolas" w:eastAsia="Consolas" w:hAnsi="Consolas"/>
          <w:sz w:val="22"/>
          <w:szCs w:val="22"/>
        </w:rPr>
        <w:t xml:space="preserve">SEX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EDUCATION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MARRIAGE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são nominais: seus códigos numéricos não expressam ordem. Mantê-las como inteiros levaria os modelos lineares a inferir, por exemplo, que “solteiro” (2) é o dobro de “casado” (1). Aplicou-se one-hot encoding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drop_first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isto é, com a supressão de uma categoria de referência por atributo (</w:t>
      </w:r>
      <w:r>
        <w:rPr>
          <w:rFonts w:ascii="Consolas" w:cs="Consolas" w:eastAsia="Consolas" w:hAnsi="Consolas"/>
          <w:sz w:val="22"/>
          <w:szCs w:val="22"/>
        </w:rPr>
        <w:t xml:space="preserve">SEX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masculino, </w:t>
      </w:r>
      <w:r>
        <w:rPr>
          <w:rFonts w:ascii="Consolas" w:cs="Consolas" w:eastAsia="Consolas" w:hAnsi="Consolas"/>
          <w:sz w:val="22"/>
          <w:szCs w:val="22"/>
        </w:rPr>
        <w:t xml:space="preserve">EDUCATION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pós-graduação, </w:t>
      </w:r>
      <w:r>
        <w:rPr>
          <w:rFonts w:ascii="Consolas" w:cs="Consolas" w:eastAsia="Consolas" w:hAnsi="Consolas"/>
          <w:sz w:val="22"/>
          <w:szCs w:val="22"/>
        </w:rPr>
        <w:t xml:space="preserve">MARRIAGE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casado). A supressão é necessária porque, mantidas todas as categorias, a soma das colunas de um mesmo atributo é constante e igual a 1, produzindo colinearidade perfeita entre as variáveis — condição que inviabiliza a inversão da matriz na estimação dos coeficientes da Regressão Logística. As três variáveis nominais originais dão origem a seis colunas binárias (</w:t>
      </w:r>
      <w:r>
        <w:rPr>
          <w:rFonts w:ascii="Consolas" w:cs="Consolas" w:eastAsia="Consolas" w:hAnsi="Consolas"/>
          <w:sz w:val="22"/>
          <w:szCs w:val="22"/>
        </w:rPr>
        <w:t xml:space="preserve">SEX_2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EDU_2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EDU_3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EDU_4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MAR_2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MAR_3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variáveis </w:t>
      </w:r>
      <w:r>
        <w:rPr>
          <w:rFonts w:ascii="Consolas" w:cs="Consolas" w:eastAsia="Consolas" w:hAnsi="Consolas"/>
          <w:sz w:val="22"/>
          <w:szCs w:val="22"/>
        </w:rPr>
        <w:t xml:space="preserve">PAY_1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</w:t>
      </w:r>
      <w:r>
        <w:rPr>
          <w:rFonts w:ascii="Consolas" w:cs="Consolas" w:eastAsia="Consolas" w:hAnsi="Consolas"/>
          <w:sz w:val="22"/>
          <w:szCs w:val="22"/>
        </w:rPr>
        <w:t xml:space="preserve">PAY_6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foram codificadas dessa forma: seus códigos (−2 a 8) possuem ordem intrínseca — o grau de atraso —, e a codificação binária destruiria essa informação ordinal ao custo de 60 colunas adicionais.</w:t>
      </w:r>
    </w:p>
    <w:p>
      <w:pPr>
        <w:pStyle w:val="Heading3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3.4.4 Redução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redução de dimensionalidade nesta fase restringiu-se à remoção do identificador </w:t>
      </w:r>
      <w:r>
        <w:rPr>
          <w:rFonts w:ascii="Consolas" w:cs="Consolas" w:eastAsia="Consolas" w:hAnsi="Consolas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(Seção 3.4.1). O diagnóstico de correlação da Seção 3.3.5 identificou </w:t>
      </w:r>
      <w:r>
        <w:rPr>
          <w:rFonts w:ascii="Consolas" w:cs="Consolas" w:eastAsia="Consolas" w:hAnsi="Consolas"/>
          <w:sz w:val="22"/>
          <w:szCs w:val="22"/>
        </w:rPr>
        <w:t xml:space="preserve">BILL_AMT1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</w:t>
      </w:r>
      <w:r>
        <w:rPr>
          <w:rFonts w:ascii="Consolas" w:cs="Consolas" w:eastAsia="Consolas" w:hAnsi="Consolas"/>
          <w:sz w:val="22"/>
          <w:szCs w:val="22"/>
        </w:rPr>
        <w:t xml:space="preserve">BILL_AMT6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como candidatas à remoção, dada a correlação linear praticamente nula com o alvo. Optou-se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mantê-las nesta etapa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por duas razões: sustentam o cálculo de </w:t>
      </w:r>
      <w:r>
        <w:rPr>
          <w:rFonts w:ascii="Consolas" w:cs="Consolas" w:eastAsia="Consolas" w:hAnsi="Consolas"/>
          <w:sz w:val="22"/>
          <w:szCs w:val="22"/>
        </w:rPr>
        <w:t xml:space="preserve">AVG_UTIL_RATIO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a ausência de correlação linear não implica ausência de relação não linear, capturável pelos modelos de árvore do benchmark. A decisão fica registrada para uma segunda rodada de seleção de atributos na fase de modelagem, por eliminação recursiva (RFE) ou por importância de atributos, quando o critério passará a ser o impacto medido sobre o desempenho preditivo.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Registra-se ainda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nenhuma técnica de balanceamento de classes foi aplicada nesta fase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Embora o desbalanceamento de 22,12% contra 77,88% (Seção 3.3.2) exija tratamento, aplicar SMOTE ou qualquer reamostragem antes da separação treino/teste faria com que instâncias sintéticas geradas a partir de registros de teste contaminassem o treino, inflando artificialmente as métricas. O balanceamento será aplicado exclusivamente sobre o conjunto de treino, já na fase de modelagem.</w:t>
      </w:r>
    </w:p>
    <w:p>
      <w:pPr>
        <w:pStyle w:val="Heading3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3.4.5 Separação treino/teste e escalonamento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base foi dividida em 80% para treino (23.972 registros) e 20% para teste (5.993 registros), com amostragem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estratificada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pela variável-alvo e semente fixa (random_state = 42) para garantir reprodutibilidade. A estratificação preserva a proporção de inadimplentes em ambos os conjuntos: 22,13% no treino e 22,13% no teste.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escalonamento foi aplicado por StandardScaler, que transforma cada variável para média zero e desvio-padrão unitário. Os parâmetros foram estimados (fit)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exclusivamente sobre o conjunto de treino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apenas aplicados (transform) ao conjunto de teste. A inversão dessa ordem — ajustar o escalonador sobre a base completa — é uma forma sutil de vazamento de dados: a média e o desvio-padrão do conjunto de teste passariam a influenciar a transformação vista pelo modelo durante o treinamento.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escalonamento incidiu sobre as 23 variáveis contínuas e ordinais. As seis colunas binárias resultantes do one-hot encoding e o indicador </w:t>
      </w:r>
      <w:r>
        <w:rPr>
          <w:rFonts w:ascii="Consolas" w:cs="Consolas" w:eastAsia="Consolas" w:hAnsi="Consolas"/>
          <w:sz w:val="22"/>
          <w:szCs w:val="22"/>
        </w:rPr>
        <w:t xml:space="preserve">SEM_FATURA_POSITIVA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foram deixados fora da transformação, preservando a interpretação 0/1. A normalização é imprescindível para os modelos sensíveis a distância e magnitude (Regressão Logística, k-NN, redes neurais) e inócua para os modelos de árvore; mantê-la em uma base única permite comparar todos os classificadores do benchmark sob condições idênticas.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pipeline resulta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 variáveis preditoras e 1 variável-alvo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cujo dicionário é apresentado na Seção 3.4.6.</w:t>
      </w:r>
    </w:p>
    <w:p>
      <w:pPr>
        <w:sectPr>
          <w:pgSz w:w="11906" w:h="16838" w:orient="portrait"/>
          <w:pgMar w:top="1700" w:right="1130" w:bottom="1130" w:left="1700" w:header="708" w:footer="708" w:gutter="0"/>
          <w:pgNumType/>
          <w:docGrid w:linePitch="360"/>
        </w:sectPr>
      </w:pPr>
    </w:p>
    <w:p>
      <w:pPr>
        <w:pStyle w:val="Heading3"/>
        <w:spacing w:after="18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3.4.6 Dicionário de Dados Final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Tabela 6 descreve as 31 colunas (30 preditoras e 1 alvo) resultantes do pipeline. A coluna Origem indica: Original — variável presente na base da UCI, mantida sem alteração de conteúdo, com o identificador da documentação original entre parênteses; Derivada — variável criada na etapa de transformação; Codificada — coluna binária gerada pelo one-hot encoding. O índice i das variáveis mensais indica a distância até o mês de referência: i = 1 corresponde a setembro de 2005 e i = 6, a abril de 2005; a variável-alvo refere-se a outubro de 2005.</w:t>
      </w:r>
    </w:p>
    <w:p>
      <w:pPr>
        <w:spacing w:after="24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6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— Dicionário de dados final.</w:t>
      </w:r>
    </w:p>
    <w:tbl>
      <w:tblPr>
        <w:tblW w:type="dxa" w:w="134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500"/>
        <w:gridCol w:w="2100"/>
        <w:gridCol w:w="1500"/>
        <w:gridCol w:w="2100"/>
        <w:gridCol w:w="2500"/>
        <w:gridCol w:w="4700"/>
      </w:tblGrid>
      <w:tr>
        <w:trPr>
          <w:tblHeader/>
        </w:trPr>
        <w:tc>
          <w:tcPr>
            <w:tcW w:type="dxa" w:w="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Domínio original</w:t>
            </w:r>
          </w:p>
        </w:tc>
        <w:tc>
          <w:tcPr>
            <w:tcW w:type="dxa" w:w="2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Transformação</w:t>
            </w:r>
          </w:p>
        </w:tc>
        <w:tc>
          <w:tcPr>
            <w:tcW w:type="dxa" w:w="4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LIMIT_BAL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(X1)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10.000 a 1.000.000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 (z-score)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Limite de crédito concedido ao cliente e à sua família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(X5)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 a 79 anos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Idade do cliente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(X6)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 a 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Renomeada de PAY_0; 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 de pagamento no mês i = 1. −2 = sem consumo; −1 = pagamento integral; 0 = uso do rotativo; 1 a 8 = meses de atraso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(X7)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 a 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 de pagamento no mês i = 2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(X8)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 a 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 de pagamento no mês i = 3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(X9)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 a 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 de pagamento no mês i = 4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(X10)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 a 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 de pagamento no mês i = 5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(X11)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 a 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 de pagamento no mês i = 6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BILL_AMT1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(X12)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−165.580 a 964.511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da fatura no mês i = 1. Valores negativos indicam saldo credor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BILL_AMT2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(X13)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−69.777 a 983.931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da fatura no mês i = 2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BILL_AMT3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(X14)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−157.264 a 1.664.089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da fatura no mês i = 3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BILL_AMT4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(X15)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−170.000 a 891.586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da fatura no mês i = 4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BILL_AMT5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(X16)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−81.334 a 927.171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da fatura no mês i = 5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BILL_AMT6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(X17)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−339.603 a 961.664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da fatura no mês i = 6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PAY_AMT1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(X18)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873.552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pago no mês i = 1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PAY_AMT2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(X19)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1.684.259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pago no mês i = 2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PAY_AMT3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(X20)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896.040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pago no mês i = 3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PAY_AMT4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(X21)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621.000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pago no mês i = 4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PAY_AMT5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(X22)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426.529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pago no mês i = 5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PAY_AMT6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(X23)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528.666 NT$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Valor pago no mês i = 6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AVG_UTIL_RATIO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Derivada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−0,233 a 5,364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Utilização média do limite: média de BILL_AMT1..6 ÷ LIMIT_BAL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SEM_FATURA_POSITIVA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Derivada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{0, 1}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Nenhuma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quando nenhum dos seis meses registrou fatura positiva (936 clientes; 3,12%)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AVG_PAY_RATIO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Derivada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5 (winsorizada)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Winsorização em 5; 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Taxa média de amortização: média de PAY_AMTi ÷ BILL_AMTi, apenas nos meses com fatura positiva. Vale 0 quando SEM_FATURA_POSITIVA = 1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N_MESES_ATRASO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Derivada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6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Padronizada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Número de meses, entre os seis observados, com PAY_i &gt; 0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SEX_2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Codificada (X2)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{0, 1}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One-hot; referência: masculino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= feminino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EDU_2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Codificada (X3)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{0, 1}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One-hot; referência: pós-graduação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= universidade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EDU_3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Codificada (X3)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{0, 1}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One-hot; referência: pós-graduação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= ensino médio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EDU_4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Codificada (X3)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{0, 1}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One-hot; referência: pós-graduação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= outros (inclui os códigos 0, 5 e 6, consolidados na Seção 3.4.1)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MAR_2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Codificada (X4)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{0, 1}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One-hot; referência: casado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= solteiro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MAR_3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Codificada (X4)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{0, 1}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One-hot; referência: casado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= outros (inclui o código 0, consolidado na Seção 3.4.1)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default payment next month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(Y)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{0, 1}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Nenhuma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Variável-alvo. 1 = inadimplência no mês seguinte; 0 = adimplência</w:t>
            </w:r>
          </w:p>
        </w:tc>
      </w:tr>
    </w:tbl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Variáveis padronizadas.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As 23 variáveis marcadas como “Padronizada” passaram por StandardScaler ajustado no conjunto de treino: nos arquivos processados apresentam média 0 e desvio-padrão 1, e os valores da coluna Domínio original referem-se à escala anterior à transformação. A coluna </w:t>
      </w:r>
      <w:r>
        <w:rPr>
          <w:rFonts w:ascii="Consolas" w:cs="Consolas" w:eastAsia="Consolas" w:hAnsi="Consolas"/>
          <w:sz w:val="22"/>
          <w:szCs w:val="22"/>
        </w:rPr>
        <w:t xml:space="preserve">SEM_FATURA_POSITIVA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as seis colunas do one-hot encoding permanecem em 0/1.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Categorias de referência.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Como o one-hot encoding foi aplicado com drop_first, a categoria de referência de cada atributo nominal é identificada pela ausência: um cliente masculino tem </w:t>
      </w:r>
      <w:r>
        <w:rPr>
          <w:rFonts w:ascii="Consolas" w:cs="Consolas" w:eastAsia="Consolas" w:hAnsi="Consolas"/>
          <w:sz w:val="22"/>
          <w:szCs w:val="22"/>
        </w:rPr>
        <w:t xml:space="preserve">SEX_2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0; um cliente com pós-graduação tem </w:t>
      </w:r>
      <w:r>
        <w:rPr>
          <w:rFonts w:ascii="Consolas" w:cs="Consolas" w:eastAsia="Consolas" w:hAnsi="Consolas"/>
          <w:sz w:val="22"/>
          <w:szCs w:val="22"/>
        </w:rPr>
        <w:t xml:space="preserve">EDU_2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</w:t>
      </w:r>
      <w:r>
        <w:rPr>
          <w:rFonts w:ascii="Consolas" w:cs="Consolas" w:eastAsia="Consolas" w:hAnsi="Consolas"/>
          <w:sz w:val="22"/>
          <w:szCs w:val="22"/>
        </w:rPr>
        <w:t xml:space="preserve">EDU_3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</w:t>
      </w:r>
      <w:r>
        <w:rPr>
          <w:rFonts w:ascii="Consolas" w:cs="Consolas" w:eastAsia="Consolas" w:hAnsi="Consolas"/>
          <w:sz w:val="22"/>
          <w:szCs w:val="22"/>
        </w:rPr>
        <w:t xml:space="preserve">EDU_4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0; um cliente casado tem </w:t>
      </w:r>
      <w:r>
        <w:rPr>
          <w:rFonts w:ascii="Consolas" w:cs="Consolas" w:eastAsia="Consolas" w:hAnsi="Consolas"/>
          <w:sz w:val="22"/>
          <w:szCs w:val="22"/>
        </w:rPr>
        <w:t xml:space="preserve">MAR_2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</w:t>
      </w:r>
      <w:r>
        <w:rPr>
          <w:rFonts w:ascii="Consolas" w:cs="Consolas" w:eastAsia="Consolas" w:hAnsi="Consolas"/>
          <w:sz w:val="22"/>
          <w:szCs w:val="22"/>
        </w:rPr>
        <w:t xml:space="preserve">MAR_3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0.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Variáveis descartadas em relação à base bruta.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coluna </w:t>
      </w:r>
      <w:r>
        <w:rPr>
          <w:rFonts w:ascii="Consolas" w:cs="Consolas" w:eastAsia="Consolas" w:hAnsi="Consolas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foi removida no pipeline e não integra o dicionário final. As variáveis </w:t>
      </w:r>
      <w:r>
        <w:rPr>
          <w:rFonts w:ascii="Consolas" w:cs="Consolas" w:eastAsia="Consolas" w:hAnsi="Consolas"/>
          <w:sz w:val="22"/>
          <w:szCs w:val="22"/>
        </w:rPr>
        <w:t xml:space="preserve">SEX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EDUCATION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MARRIAGE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deixaram de existir como colunas próprias, tendo sido substituídas pelas seis colunas binárias correspondentes. A coluna Origem permite o cruzamento direto com a Tabela 2 da Seção 3.2.</w:t>
      </w:r>
    </w:p>
    <w:sectPr>
      <w:pgSz w:w="16838" w:h="11906" w:orient="landscape"/>
      <w:pgMar w:top="1130" w:right="1130" w:bottom="113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9c0c6ceeb7c17ab2880f3f614f1b39b3f8e701.png"/><Relationship Id="rId8" Type="http://schemas.openxmlformats.org/officeDocument/2006/relationships/image" Target="media/6c7de2c4a4f3c69046d4ce65da7a55f830760804.png"/><Relationship Id="rId9" Type="http://schemas.openxmlformats.org/officeDocument/2006/relationships/image" Target="media/f4952546ad9656b22820e6f3af7a57a0b19a4ced.png"/><Relationship Id="rId10" Type="http://schemas.openxmlformats.org/officeDocument/2006/relationships/image" Target="media/1a847b4a6159a09e10ee76db5f10b6333a7d810e.png"/><Relationship Id="rId11" Type="http://schemas.openxmlformats.org/officeDocument/2006/relationships/image" Target="media/d008e4f97b1ac5ff88457b7932620132ac102d3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Seções 3.3 e 3.4 — Mineração de Dados Aplicada à Predição de Inadimplência</dc:title>
  <dc:creator>Grupo — UPE/POLI</dc:creator>
  <cp:lastModifiedBy>Un-named</cp:lastModifiedBy>
  <cp:revision>1</cp:revision>
  <dcterms:created xsi:type="dcterms:W3CDTF">2026-09-09T22:49:17.684Z</dcterms:created>
  <dcterms:modified xsi:type="dcterms:W3CDTF">2026-09-09T22:49:17.697Z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