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t>Casos de prueba SAT Inundaciones Panambí</w:t>
      </w:r>
    </w:p>
    <w:p>
      <w:pPr>
        <w:spacing w:after="200"/>
      </w:pPr>
      <w:r>
        <w:t xml:space="preserve">Identificación de casos significativos para los requisitos RF-T01 a RF-T04. </w:t>
      </w:r>
      <w:r>
        <w:t>Los flujos se clasifican como normal, alternativo o de excepción, y cada caso incluye su importancia para el plan de pruebas.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  <w:gridCol w:w="3005"/>
        <w:gridCol w:w="3005"/>
      </w:tblGrid>
      <w:tr>
        <w:trPr>
          <w:tblHeader w:val="true"/>
        </w:trPr>
        <w:tc>
          <w:tcPr>
            <w:tcW w:type="dxa" w:w="822"/>
            <w:vAlign w:val="center"/>
            <w:shd w:fill="16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191"/>
            <w:vAlign w:val="center"/>
            <w:shd w:fill="16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  <w:tc>
          <w:tcPr>
            <w:tcW w:type="dxa" w:w="4422"/>
            <w:vAlign w:val="center"/>
            <w:shd w:fill="16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Caso identificado</w:t>
            </w:r>
          </w:p>
        </w:tc>
        <w:tc>
          <w:tcPr>
            <w:tcW w:type="dxa" w:w="1219"/>
            <w:vAlign w:val="center"/>
            <w:shd w:fill="16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Flujo</w:t>
            </w:r>
          </w:p>
        </w:tc>
        <w:tc>
          <w:tcPr>
            <w:tcW w:type="dxa" w:w="6633"/>
            <w:vAlign w:val="center"/>
            <w:shd w:fill="16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Importancia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CP-01</w:t>
            </w:r>
          </w:p>
        </w:tc>
        <w:tc>
          <w:tcPr>
            <w:tcW w:type="dxa" w:w="1191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RF-T01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Inicio de sesión con credenciales válidas</w:t>
            </w:r>
          </w:p>
        </w:tc>
        <w:tc>
          <w:tcPr>
            <w:tcW w:type="dxa" w:w="1219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Normal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Comprueba el acceso del operador a su panel.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CP-02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RF-T01</w:t>
            </w:r>
          </w:p>
        </w:tc>
        <w:tc>
          <w:tcPr>
            <w:tcW w:type="dxa" w:w="4422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Inicio de sesión con contraseña incorrecta</w:t>
            </w:r>
          </w:p>
        </w:tc>
        <w:tc>
          <w:tcPr>
            <w:tcW w:type="dxa" w:w="1219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Excepción</w:t>
            </w:r>
          </w:p>
        </w:tc>
        <w:tc>
          <w:tcPr>
            <w:tcW w:type="dxa" w:w="6633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Impide el acceso no autorizado.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CP-03</w:t>
            </w:r>
          </w:p>
        </w:tc>
        <w:tc>
          <w:tcPr>
            <w:tcW w:type="dxa" w:w="1191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RF-T01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Inicio de sesión con usuario o contraseña vacíos</w:t>
            </w:r>
          </w:p>
        </w:tc>
        <w:tc>
          <w:tcPr>
            <w:tcW w:type="dxa" w:w="1219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Excepción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Verifica la validación previa al ingreso.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CP-04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RF-T01</w:t>
            </w:r>
          </w:p>
        </w:tc>
        <w:tc>
          <w:tcPr>
            <w:tcW w:type="dxa" w:w="4422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Funciones visibles según el rol autenticado</w:t>
            </w:r>
          </w:p>
        </w:tc>
        <w:tc>
          <w:tcPr>
            <w:tcW w:type="dxa" w:w="1219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Normal</w:t>
            </w:r>
          </w:p>
        </w:tc>
        <w:tc>
          <w:tcPr>
            <w:tcW w:type="dxa" w:w="6633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Comprueba las restricciones de acceso de cada rol.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CP-05</w:t>
            </w:r>
          </w:p>
        </w:tc>
        <w:tc>
          <w:tcPr>
            <w:tcW w:type="dxa" w:w="1191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RF-T02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Visualización de una alerta automática pendiente</w:t>
            </w:r>
          </w:p>
        </w:tc>
        <w:tc>
          <w:tcPr>
            <w:tcW w:type="dxa" w:w="1219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Normal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Asegura que llegue a revisión del operador.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CP-06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RF-T02</w:t>
            </w:r>
          </w:p>
        </w:tc>
        <w:tc>
          <w:tcPr>
            <w:tcW w:type="dxa" w:w="4422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Visualización de una alerta creada por un reporte vecinal</w:t>
            </w:r>
          </w:p>
        </w:tc>
        <w:tc>
          <w:tcPr>
            <w:tcW w:type="dxa" w:w="1219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Normal</w:t>
            </w:r>
          </w:p>
        </w:tc>
        <w:tc>
          <w:tcPr>
            <w:tcW w:type="dxa" w:w="6633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Verifica la conexión entre reporte y revisión.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CP-07</w:t>
            </w:r>
          </w:p>
        </w:tc>
        <w:tc>
          <w:tcPr>
            <w:tcW w:type="dxa" w:w="1191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RF-T02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Validación de una alerta pendiente</w:t>
            </w:r>
          </w:p>
        </w:tc>
        <w:tc>
          <w:tcPr>
            <w:tcW w:type="dxa" w:w="1219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Normal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Comprueba el cambio de estado y su auditoría.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CP-08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RF-T02</w:t>
            </w:r>
          </w:p>
        </w:tc>
        <w:tc>
          <w:tcPr>
            <w:tcW w:type="dxa" w:w="4422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Rechazo de una alerta con observación</w:t>
            </w:r>
          </w:p>
        </w:tc>
        <w:tc>
          <w:tcPr>
            <w:tcW w:type="dxa" w:w="1219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Alternativo</w:t>
            </w:r>
          </w:p>
        </w:tc>
        <w:tc>
          <w:tcPr>
            <w:tcW w:type="dxa" w:w="6633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Registra el motivo de una decisión que descarta la alerta.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CP-09</w:t>
            </w:r>
          </w:p>
        </w:tc>
        <w:tc>
          <w:tcPr>
            <w:tcW w:type="dxa" w:w="1191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RF-T02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Mantenimiento de una alerta como pendiente con observación</w:t>
            </w:r>
          </w:p>
        </w:tc>
        <w:tc>
          <w:tcPr>
            <w:tcW w:type="dxa" w:w="1219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Alternativo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Conserva la alerta y el motivo de la revisión adicional.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CP-10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RF-T02</w:t>
            </w:r>
          </w:p>
        </w:tc>
        <w:tc>
          <w:tcPr>
            <w:tcW w:type="dxa" w:w="4422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Intento de rechazo sin observación</w:t>
            </w:r>
          </w:p>
        </w:tc>
        <w:tc>
          <w:tcPr>
            <w:tcW w:type="dxa" w:w="1219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Excepción</w:t>
            </w:r>
          </w:p>
        </w:tc>
        <w:tc>
          <w:tcPr>
            <w:tcW w:type="dxa" w:w="6633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Impide descartar una alerta sin justificarlo.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CP-11</w:t>
            </w:r>
          </w:p>
        </w:tc>
        <w:tc>
          <w:tcPr>
            <w:tcW w:type="dxa" w:w="1191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RF-T02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Intento de mantener pendiente sin observación</w:t>
            </w:r>
          </w:p>
        </w:tc>
        <w:tc>
          <w:tcPr>
            <w:tcW w:type="dxa" w:w="1219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Excepción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Verifica la condición obligatoria de esa acción.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CP-12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RF-T02</w:t>
            </w:r>
          </w:p>
        </w:tc>
        <w:tc>
          <w:tcPr>
            <w:tcW w:type="dxa" w:w="4422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Alerta procesada ausente de pendientes y presente en Historial</w:t>
            </w:r>
          </w:p>
        </w:tc>
        <w:tc>
          <w:tcPr>
            <w:tcW w:type="dxa" w:w="1219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Normal</w:t>
            </w:r>
          </w:p>
        </w:tc>
        <w:tc>
          <w:tcPr>
            <w:tcW w:type="dxa" w:w="6633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Evita reprocesarla y conserva la trazabilidad.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CP-13</w:t>
            </w:r>
          </w:p>
        </w:tc>
        <w:tc>
          <w:tcPr>
            <w:tcW w:type="dxa" w:w="1191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RF-T03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Reporte ciudadano válido sin iniciar sesión</w:t>
            </w:r>
          </w:p>
        </w:tc>
        <w:tc>
          <w:tcPr>
            <w:tcW w:type="dxa" w:w="1219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Normal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Comprueba el acceso público, el código generado y la alerta pendiente.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CP-14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RF-T03</w:t>
            </w:r>
          </w:p>
        </w:tc>
        <w:tc>
          <w:tcPr>
            <w:tcW w:type="dxa" w:w="4422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Reporte válido sin imagen</w:t>
            </w:r>
          </w:p>
        </w:tc>
        <w:tc>
          <w:tcPr>
            <w:tcW w:type="dxa" w:w="1219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Alternativo</w:t>
            </w:r>
          </w:p>
        </w:tc>
        <w:tc>
          <w:tcPr>
            <w:tcW w:type="dxa" w:w="6633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Confirma que el adjunto sea opcional.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CP-15</w:t>
            </w:r>
          </w:p>
        </w:tc>
        <w:tc>
          <w:tcPr>
            <w:tcW w:type="dxa" w:w="1191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RF-T03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Reporte válido con imagen</w:t>
            </w:r>
          </w:p>
        </w:tc>
        <w:tc>
          <w:tcPr>
            <w:tcW w:type="dxa" w:w="1219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Normal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Verifica que el adjunto pueda registrarse y consultarse al revisar la alerta.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CP-16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RF-T03</w:t>
            </w:r>
          </w:p>
        </w:tc>
        <w:tc>
          <w:tcPr>
            <w:tcW w:type="dxa" w:w="4422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Reporte con DNI válido de 7 y de 8 dígitos</w:t>
            </w:r>
          </w:p>
        </w:tc>
        <w:tc>
          <w:tcPr>
            <w:tcW w:type="dxa" w:w="1219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Normal</w:t>
            </w:r>
          </w:p>
        </w:tc>
        <w:tc>
          <w:tcPr>
            <w:tcW w:type="dxa" w:w="6633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Comprueba ambos límites admitidos.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CP-17</w:t>
            </w:r>
          </w:p>
        </w:tc>
        <w:tc>
          <w:tcPr>
            <w:tcW w:type="dxa" w:w="1191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RF-T03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Reporte con DNI de menos de 7 dígitos</w:t>
            </w:r>
          </w:p>
        </w:tc>
        <w:tc>
          <w:tcPr>
            <w:tcW w:type="dxa" w:w="1219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Excepción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Evita registrar un documento inválido.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CP-18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RF-T03</w:t>
            </w:r>
          </w:p>
        </w:tc>
        <w:tc>
          <w:tcPr>
            <w:tcW w:type="dxa" w:w="4422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Reporte con un campo obligatorio vacío</w:t>
            </w:r>
          </w:p>
        </w:tc>
        <w:tc>
          <w:tcPr>
            <w:tcW w:type="dxa" w:w="1219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Excepción</w:t>
            </w:r>
          </w:p>
        </w:tc>
        <w:tc>
          <w:tcPr>
            <w:tcW w:type="dxa" w:w="6633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Evita incidencias y alertas incompletas.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CP-19</w:t>
            </w:r>
          </w:p>
        </w:tc>
        <w:tc>
          <w:tcPr>
            <w:tcW w:type="dxa" w:w="1191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RF-T03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Adjunto que no es imagen</w:t>
            </w:r>
          </w:p>
        </w:tc>
        <w:tc>
          <w:tcPr>
            <w:tcW w:type="dxa" w:w="1219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Excepción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Verifica el rechazo de un tipo de archivo no permitido.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CP-20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RF-T03</w:t>
            </w:r>
          </w:p>
        </w:tc>
        <w:tc>
          <w:tcPr>
            <w:tcW w:type="dxa" w:w="4422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Imagen que supera los 3 MB</w:t>
            </w:r>
          </w:p>
        </w:tc>
        <w:tc>
          <w:tcPr>
            <w:tcW w:type="dxa" w:w="1219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Excepción</w:t>
            </w:r>
          </w:p>
        </w:tc>
        <w:tc>
          <w:tcPr>
            <w:tcW w:type="dxa" w:w="6633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Verifica el límite de tamaño aplicado por el prototipo.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CP-21</w:t>
            </w:r>
          </w:p>
        </w:tc>
        <w:tc>
          <w:tcPr>
            <w:tcW w:type="dxa" w:w="1191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RF-T04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Emisión manual con todos los datos requeridos</w:t>
            </w:r>
          </w:p>
        </w:tc>
        <w:tc>
          <w:tcPr>
            <w:tcW w:type="dxa" w:w="1219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Normal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Comprueba que la alerta quede emitida y activa.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CP-22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RF-T04</w:t>
            </w:r>
          </w:p>
        </w:tc>
        <w:tc>
          <w:tcPr>
            <w:tcW w:type="dxa" w:w="4422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Emisión manual a destinatarios seleccionados de la zona</w:t>
            </w:r>
          </w:p>
        </w:tc>
        <w:tc>
          <w:tcPr>
            <w:tcW w:type="dxa" w:w="1219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Alternativo</w:t>
            </w:r>
          </w:p>
        </w:tc>
        <w:tc>
          <w:tcPr>
            <w:tcW w:type="dxa" w:w="6633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Verifica que se registre la selección efectiva de contactos.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CP-23</w:t>
            </w:r>
          </w:p>
        </w:tc>
        <w:tc>
          <w:tcPr>
            <w:tcW w:type="dxa" w:w="1191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RF-T04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Emisión manual con fuente, riesgo, zona o mensaje faltante</w:t>
            </w:r>
          </w:p>
        </w:tc>
        <w:tc>
          <w:tcPr>
            <w:tcW w:type="dxa" w:w="1219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Excepción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Impide avanzar con información esencial incompleta.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CP-24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RF-T04</w:t>
            </w:r>
          </w:p>
        </w:tc>
        <w:tc>
          <w:tcPr>
            <w:tcW w:type="dxa" w:w="4422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Emisión manual sin canal seleccionado</w:t>
            </w:r>
          </w:p>
        </w:tc>
        <w:tc>
          <w:tcPr>
            <w:tcW w:type="dxa" w:w="1219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Excepción</w:t>
            </w:r>
          </w:p>
        </w:tc>
        <w:tc>
          <w:tcPr>
            <w:tcW w:type="dxa" w:w="6633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Evita confirmar una alerta sin medio de notificación.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CP-25</w:t>
            </w:r>
          </w:p>
        </w:tc>
        <w:tc>
          <w:tcPr>
            <w:tcW w:type="dxa" w:w="1191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RF-T04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Emisión manual sin destinatarios seleccionados</w:t>
            </w:r>
          </w:p>
        </w:tc>
        <w:tc>
          <w:tcPr>
            <w:tcW w:type="dxa" w:w="1219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Excepción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Evita confirmar una alerta sin receptores.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CP-26</w:t>
            </w:r>
          </w:p>
        </w:tc>
        <w:tc>
          <w:tcPr>
            <w:tcW w:type="dxa" w:w="1191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RF-T01 / RF-T04</w:t>
            </w:r>
          </w:p>
        </w:tc>
        <w:tc>
          <w:tcPr>
            <w:tcW w:type="dxa" w:w="4422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Intento de emisión por un rol no autorizado</w:t>
            </w:r>
          </w:p>
        </w:tc>
        <w:tc>
          <w:tcPr>
            <w:tcW w:type="dxa" w:w="1219"/>
            <w:vAlign w:val="center"/>
            <w:shd w:fill="F2F6FA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Excepción</w:t>
            </w:r>
          </w:p>
        </w:tc>
        <w:tc>
          <w:tcPr>
            <w:tcW w:type="dxa" w:w="6633"/>
            <w:vAlign w:val="center"/>
            <w:shd w:fill="F2F6FA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Protege una función que genera avisos a terceros.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CP-27</w:t>
            </w:r>
          </w:p>
        </w:tc>
        <w:tc>
          <w:tcPr>
            <w:tcW w:type="dxa" w:w="1191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RF-T04</w:t>
            </w:r>
          </w:p>
        </w:tc>
        <w:tc>
          <w:tcPr>
            <w:tcW w:type="dxa" w:w="4422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Finalización de una alerta manual emitida</w:t>
            </w:r>
          </w:p>
        </w:tc>
        <w:tc>
          <w:tcPr>
            <w:tcW w:type="dxa" w:w="1219"/>
            <w:vAlign w:val="center"/>
          </w:tcPr>
          <w:p>
            <w:pPr>
              <w:spacing w:before="40" w:after="40" w:line="259" w:lineRule="auto"/>
              <w:jc w:val="center"/>
            </w:pPr>
            <w:r>
              <w:rPr>
                <w:sz w:val="17"/>
              </w:rPr>
              <w:t>Normal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40" w:line="259" w:lineRule="auto"/>
            </w:pPr>
            <w:r>
              <w:rPr>
                <w:sz w:val="17"/>
              </w:rPr>
              <w:t>Verifica que deje de figurar como activa y permanezca en Historial.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b/>
          <w:sz w:val="16"/>
        </w:rPr>
        <w:t xml:space="preserve">Punto a verificar. </w:t>
      </w:r>
      <w:r>
        <w:rPr>
          <w:sz w:val="16"/>
        </w:rPr>
        <w:t>RF-T04 exige finalizar una alerta manual. Si la acción no está disponible al ingresar como operador autorizado, registrar CP-27 como BLOQUEADO.</w:t>
      </w:r>
    </w:p>
    <w:p>
      <w:pPr>
        <w:spacing w:after="140"/>
      </w:pPr>
      <w:r>
        <w:rPr>
          <w:b/>
          <w:sz w:val="16"/>
        </w:rPr>
        <w:t xml:space="preserve">Alcance de ejecución. </w:t>
      </w:r>
      <w:r>
        <w:rPr>
          <w:sz w:val="16"/>
        </w:rPr>
        <w:t>La mensajería externa está simulada: en CP-21 y CP-22 se comprueba el registro interno de destinatarios y canales, no la entrega real de avisos.</w:t>
      </w:r>
    </w:p>
    <w:p>
      <w:r>
        <w:rPr>
          <w:b/>
          <w:sz w:val="16"/>
        </w:rPr>
        <w:t xml:space="preserve">Fuentes: </w:t>
      </w:r>
      <w:r>
        <w:rPr>
          <w:sz w:val="16"/>
        </w:rPr>
        <w:t>IdS2 - Trabajo Práctico N° 1; Requerimientos implementados SAT; Flujos SAT inundaciones; https://sat-inundaciones-panambi-g11.onrender.com/</w:t>
      </w:r>
    </w:p>
    <w:sectPr w:rsidR="00FC693F" w:rsidRPr="0006063C" w:rsidSect="00034616">
      <w:pgSz w:w="16838" w:h="11906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1A28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