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PROTOTYPE DEFECT REPORT – NTB PLATFORM</w:t>
      </w:r>
    </w:p>
    <w:p>
      <w:r>
        <w:t>English translation of “Rapport des anomalies du prototype – Plateforme BNT”</w:t>
      </w:r>
    </w:p>
    <w:p>
      <w:r>
        <w:t>All original screenshots are reproduced from the source report. Text within screenshots remains in its original interface language.</w:t>
      </w:r>
    </w:p>
    <w:p>
      <w:pPr>
        <w:pStyle w:val="Heading1"/>
      </w:pPr>
      <w:r>
        <w:t>1. User Interface and Usability</w:t>
      </w:r>
    </w:p>
    <w:p>
      <w:pPr>
        <w:pStyle w:val="Heading2"/>
      </w:pPr>
      <w:r>
        <w:t>1.1. Logo Overlap with the Home and Report Buttons</w:t>
      </w:r>
    </w:p>
    <w:p>
      <w:r>
        <w:t>When the platform menu is displayed in French, the logo text overlaps with the “Home” button.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95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logo and navigation-button overlap</w:t>
      </w:r>
    </w:p>
    <w:p>
      <w:pPr>
        <w:pStyle w:val="Heading2"/>
      </w:pPr>
      <w:r>
        <w:t>1.2. Responsive Design Issue on the Administrative Platform (Web Responsive Test)</w:t>
      </w:r>
    </w:p>
    <w:p>
      <w:r>
        <w:t>Finding: The administrative platform interface does not adapt properly to smaller screens.</w:t>
      </w:r>
    </w:p>
    <w:p>
      <w:r>
        <w:t>When users access the platform from a tablet or mobile phone, the main navigation menu does not display correctly or is inaccessible.</w:t>
      </w:r>
    </w:p>
    <w:p>
      <w:r>
        <w:t>This issue makes navigation difficult, or even impossible, on tablets and mobile devices and prevents a consistent user experience across different screen sizes.</w:t>
      </w:r>
    </w:p>
    <w:p>
      <w:r>
        <w:t>The responsive design of the administrative platform should be reviewed so that the interface automatically adjusts to different screen resolutions.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77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mobile, tablet and desktop responsive-design test</w:t>
      </w:r>
    </w:p>
    <w:p>
      <w:pPr>
        <w:pStyle w:val="Heading1"/>
      </w:pPr>
      <w:r>
        <w:t>2. Login Form</w:t>
      </w:r>
    </w:p>
    <w:p>
      <w:pPr>
        <w:pStyle w:val="Heading2"/>
      </w:pPr>
      <w:r>
        <w:t>2.1. Missing Password Reset Functionality</w:t>
      </w:r>
    </w:p>
    <w:p>
      <w:r>
        <w:t>The user login form currently has no link or button allowing a user to reset a forgotten password.</w:t>
      </w:r>
    </w:p>
    <w:p>
      <w:r>
        <w:t>Impact: A user who forgets their password has no self-service mechanism for regaining access to their account.</w:t>
      </w:r>
    </w:p>
    <w:p>
      <w:r>
        <w:t>The user must currently contact a platform administrator, who then has to use the user management interface to reset the password.</w:t>
      </w:r>
    </w:p>
    <w:p>
      <w:r>
        <w:t>Recommendation</w:t>
      </w:r>
    </w:p>
    <w:p>
      <w:r>
        <w:t>Add a “Forgot password?” link to the login page.</w:t>
      </w:r>
    </w:p>
    <w:p>
      <w:r>
        <w:t>This link should allow users to initiate a secure password reset process themselves.</w:t>
      </w:r>
    </w:p>
    <w:p>
      <w:r>
        <w:t>The recommended process is:</w:t>
      </w:r>
    </w:p>
    <w:p>
      <w:pPr>
        <w:pStyle w:val="ListNumber"/>
      </w:pPr>
      <w:r>
        <w:t>The user clicks “Forgot password?”.</w:t>
      </w:r>
    </w:p>
    <w:p>
      <w:pPr>
        <w:pStyle w:val="ListNumber"/>
      </w:pPr>
      <w:r>
        <w:t>The user enters their email address or username.</w:t>
      </w:r>
    </w:p>
    <w:p>
      <w:pPr>
        <w:pStyle w:val="ListNumber"/>
      </w:pPr>
      <w:r>
        <w:t>The system verifies the account.</w:t>
      </w:r>
    </w:p>
    <w:p>
      <w:pPr>
        <w:pStyle w:val="ListNumber"/>
      </w:pPr>
      <w:r>
        <w:t>A secure, temporary password reset link is sent to the email address associated with the account.</w:t>
      </w:r>
    </w:p>
    <w:p>
      <w:pPr>
        <w:pStyle w:val="ListNumber"/>
      </w:pPr>
      <w:r>
        <w:t>The user sets a new password.</w:t>
      </w:r>
    </w:p>
    <w:p>
      <w:pPr>
        <w:pStyle w:val="ListNumber"/>
      </w:pPr>
      <w:r>
        <w:t>The reset link expires after a limited period and can only be used once.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406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40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Public portal: original login-screen screenshot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60206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20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Administrative portal: original login-screen screenshot</w:t>
      </w:r>
    </w:p>
    <w:p>
      <w:pPr>
        <w:pStyle w:val="Heading1"/>
      </w:pPr>
      <w:r>
        <w:t>3. Multi-Factor Authentication (MFA)</w:t>
      </w:r>
    </w:p>
    <w:p>
      <w:pPr>
        <w:pStyle w:val="Heading2"/>
      </w:pPr>
      <w:r>
        <w:t>3.1. “Reset MFA” Button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8501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50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“Reset MFA” control in the user administration interface</w:t>
      </w:r>
    </w:p>
    <w:p>
      <w:r>
        <w:t>Finding: The button currently labelled “Reset MFA” does not trigger any functional action.</w:t>
      </w:r>
    </w:p>
    <w:p>
      <w:pPr>
        <w:pStyle w:val="Heading2"/>
      </w:pPr>
      <w:r>
        <w:t>3.2. MFA Security Setting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13340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34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MFA security configuration and verification method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16086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08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MFA email verification code entry</w:t>
      </w:r>
    </w:p>
    <w:p>
      <w:r>
        <w:t>Finding: A security setting for configuring multi-factor authentication (MFA) is present on the platform.</w:t>
      </w:r>
    </w:p>
    <w:p>
      <w:r>
        <w:t>When MFA is configured using the email OTP option, the platform displays a message stating that a six-digit verification code has been sent to the user.</w:t>
      </w:r>
    </w:p>
    <w:p>
      <w:r>
        <w:t>However, after checking, no code is actually received in the user’s email inbox.</w:t>
      </w:r>
    </w:p>
    <w:p>
      <w:r>
        <w:t>Impact: This defect prevents users from correctly completing the activation or verification of MFA using an OTP.</w:t>
      </w:r>
    </w:p>
    <w:p>
      <w:r>
        <w:t>It also creates an inconsistency between the behaviour indicated by the interface and the actual operation of the code-delivery service.</w:t>
      </w:r>
    </w:p>
    <w:p>
      <w:r>
        <w:t>The following issues must be corrected:</w:t>
      </w:r>
    </w:p>
    <w:p>
      <w:pPr>
        <w:pStyle w:val="ListNumber"/>
      </w:pPr>
      <w:r>
        <w:t>The “Reset MFA” button does not trigger any action.</w:t>
      </w:r>
    </w:p>
    <w:p>
      <w:pPr>
        <w:pStyle w:val="ListNumber"/>
      </w:pPr>
      <w:r>
        <w:t>The six-digit OTP stated to have been sent is not received by the user.</w:t>
      </w:r>
    </w:p>
    <w:p>
      <w:pPr>
        <w:pStyle w:val="ListNumber"/>
      </w:pPr>
      <w:r>
        <w:t>The operation of the email-sending service must be verified.</w:t>
      </w:r>
    </w:p>
    <w:p>
      <w:pPr>
        <w:pStyle w:val="ListNumber"/>
      </w:pPr>
      <w:r>
        <w:t>The OTP generation, sending and validation process must be tested end to end.</w:t>
      </w:r>
    </w:p>
    <w:p>
      <w:pPr>
        <w:pStyle w:val="ListNumber"/>
      </w:pPr>
      <w:r>
        <w:t>An MFA reset procedure must be provided for users who lose access to their second authentication factor.</w:t>
      </w:r>
    </w:p>
    <w:p>
      <w:pPr>
        <w:pStyle w:val="Heading1"/>
      </w:pPr>
      <w:r>
        <w:t>4. Dialog Boxes and User Experience</w:t>
      </w:r>
    </w:p>
    <w:p>
      <w:pPr>
        <w:pStyle w:val="Heading2"/>
      </w:pPr>
      <w:r>
        <w:t>4.1. Use of Native Browser Dialog Boxes</w:t>
      </w:r>
    </w:p>
    <w:p>
      <w:r>
        <w:t>Finding: During certain administrative operations, particularly when generating or entering text, the system displays a native browser dialog box when the “Suspend” and “Deactivate” buttons are clicked.</w:t>
      </w:r>
    </w:p>
    <w:p>
      <w:r>
        <w:t>In the screenshot, the message also displays the server’s IP address, for example: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3878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8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native browser prompt displaying the server address</w:t>
      </w:r>
    </w:p>
    <w:p>
      <w:r>
        <w:t>This behaviour gives the impression of an unfinished application and is inappropriate for an institutional platform intended for production use.</w:t>
      </w:r>
    </w:p>
    <w:p>
      <w:r>
        <w:t>I recommend replacing the window.confirm() and window.prompt() dialogs with modal dialogs integrated directly into the platform interface.</w:t>
      </w:r>
    </w:p>
    <w:p>
      <w:pPr>
        <w:pStyle w:val="Heading1"/>
      </w:pPr>
      <w:r>
        <w:t>5. Submission of NTB Complaints / Cases</w:t>
      </w:r>
    </w:p>
    <w:p>
      <w:pPr>
        <w:pStyle w:val="Heading2"/>
      </w:pPr>
      <w:r>
        <w:t>5.1. Unable to Submit a Complaint</w:t>
      </w:r>
    </w:p>
    <w:p>
      <w:r>
        <w:t>Finding: It is currently not possible to submit an NTB complaint/case through:</w:t>
      </w:r>
    </w:p>
    <w:p>
      <w:pPr>
        <w:pStyle w:val="ListBullet"/>
      </w:pPr>
      <w:r>
        <w:t>The public portal;</w:t>
      </w:r>
    </w:p>
    <w:p>
      <w:pPr>
        <w:pStyle w:val="ListBullet"/>
      </w:pPr>
      <w:r>
        <w:t>The administrative portal.</w:t>
      </w:r>
    </w:p>
    <w:p>
      <w:r>
        <w:t>This defect blocks a core platform function: recording and submitting a non-tariff barrier.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9343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93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complaint submission – description stage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3805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80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complaint submission – location stage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45699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complaint submission – affected products stage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43610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6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complaint submission – documents stage and error message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9431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43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complaint submission – additional user example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45270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2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complaint submission error following attempted submission</w:t>
      </w:r>
    </w:p>
    <w:p>
      <w:pPr>
        <w:pStyle w:val="Heading1"/>
      </w:pPr>
      <w:r>
        <w:t>6. Institutional Model and Governance</w:t>
      </w:r>
    </w:p>
    <w:p>
      <w:r>
        <w:t>An institution is an administrative or official organisation to which an NTB case may be assigned for processing, monitoring or supervision.</w:t>
      </w:r>
    </w:p>
    <w:p>
      <w:r>
        <w:t>The following distinctions should be made:</w:t>
      </w:r>
    </w:p>
    <w:p>
      <w:pPr>
        <w:pStyle w:val="ListBullet"/>
      </w:pPr>
      <w:r>
        <w:t>Institution: the body responsible for processing a case;</w:t>
      </w:r>
    </w:p>
    <w:p>
      <w:pPr>
        <w:pStyle w:val="ListBullet"/>
      </w:pPr>
      <w:r>
        <w:t>User: a person who has an account;</w:t>
      </w:r>
    </w:p>
    <w:p>
      <w:pPr>
        <w:pStyle w:val="ListBullet"/>
      </w:pPr>
      <w:r>
        <w:t>Role: the user’s permission level.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16036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03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case assignments by institution</w:t>
      </w:r>
    </w:p>
    <w:p>
      <w:pPr>
        <w:pStyle w:val="Heading2"/>
      </w:pPr>
      <w:r>
        <w:t>6.1. Important Missing Institutions</w:t>
      </w:r>
    </w:p>
    <w:p>
      <w:r>
        <w:t>Analysis of the platform shows that certain institutions identified in the SDS are not yet represented, or are not clearly represented, in the system.</w:t>
      </w:r>
    </w:p>
    <w:p>
      <w:r>
        <w:t>National Monitoring Committee (CNS)</w:t>
      </w:r>
    </w:p>
    <w:p>
      <w:r>
        <w:t>The SDS assigns it a central role: “Coordination, arbitration and supervision”.</w:t>
      </w:r>
    </w:p>
    <w:p>
      <w:r>
        <w:t>The CNS should therefore be represented within the platform’s institutional/governance model and have access rights corresponding to its responsibilities.</w:t>
      </w:r>
    </w:p>
    <w:p>
      <w:r>
        <w:t>Ministry of Transport</w:t>
      </w:r>
    </w:p>
    <w:p>
      <w:r>
        <w:t>The SDS assigns it, in particular, responsibility for: “Coordination of corridor-related issues”.</w:t>
      </w:r>
    </w:p>
    <w:p>
      <w:r>
        <w:t>It should therefore be included among the institutions that can participate in processing NTB cases relating to transport and corridors.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1460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46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role catalogue</w:t>
      </w:r>
    </w:p>
    <w:p>
      <w:pPr>
        <w:pStyle w:val="Heading1"/>
      </w:pPr>
      <w:r>
        <w:t>6. Roles and Permissions</w:t>
      </w:r>
    </w:p>
    <w:p>
      <w:r>
        <w:t>The section on roles is broadly consistent with the SDS. A technical error occurs when using the role-assignment function: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2822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8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error displayed when applying role assignment</w:t>
      </w:r>
    </w:p>
    <w:p>
      <w:r>
        <w:t>Call to undefined relationship [role] on model [App\Models\UserRoleAssignment].</w:t>
      </w:r>
    </w:p>
    <w:p>
      <w:r>
        <w:t>Impact: This error probably indicates a problem with the relationship between the UserRoleAssignment model and the corresponding role model.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0170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1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Original screenshot: user list, assigned institutions, roles and status</w:t>
      </w:r>
    </w:p>
    <w:sectPr w:rsidR="00FC693F" w:rsidRPr="0006063C" w:rsidSect="00034616">
      <w:footerReference w:type="default" r:id="rId27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PROTOTYPE DEFECT REPORT  |  ENGLISH TRANSLATION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D37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3C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536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0D2D4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240"/>
    </w:pPr>
    <w:rPr>
      <w:rFonts w:ascii="Aptos" w:hAnsi="Aptos"/>
      <w:i/>
      <w:color w:val="5A677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