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PLATFORM AGNOSTIC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F0"/>
                <w:sz w:val="48"/>
                <w:szCs w:val="48"/>
              </w:rPr>
              <w:t xml:space="preserve">PREP GUIDE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4"/>
                <w:szCs w:val="24"/>
              </w:rPr>
              <w:t xml:space="preserve">How to protect your AI projects when token prices 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Randy Skiles  |  enterprise-ai-pipeline  |  May 2026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B0F0" w:sz="8"/>
        </w:pBdr>
        <w:shd w:fill="1F3864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THE RISK — PLAIN ENGLISH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C00000"/>
                <w:sz w:val="22"/>
                <w:szCs w:val="22"/>
              </w:rPr>
              <w:t xml:space="preserve">OpenAI and Anthropic need trillion-dollar valuations. Token pricing is currently subsidized to drive adoption. As these companies approach IPO and face investor pressure for revenue, token prices will rise. The question is not if — it's when and how much.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current project spends ~$0.10 per analysis run using Claude Haiku. If Anthropic raises Haiku pricing 5x — which is well within their rights — your $0.10 run becomes $0.50. At 10x, it's $1.00. For a personal project that's manageable. For an employer running hundreds of jobs per day, that's a budget crisis.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ANSWER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ADR-009 already protects you. Your pipeline was designed model-agnostic from day one. All Claude API calls are isolated in one module. Switching providers requires changing one file.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0F0" w:sz="8"/>
        </w:pBdr>
        <w:shd w:fill="1F3864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HOW YOUR PIPELINE IS ALREADY PROTECTED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You made the right decision early. ADR-009 (Platform Strategy) documents this explicitly: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4"/>
                <w:szCs w:val="24"/>
              </w:rPr>
              <w:t xml:space="preserve">"Build model-agnostic. All API calls isolated in one module. Switching to GPT-4 requires changing one file. Validated by LLM Council."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— ADR-009, DECISIONS.md v2.0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What this means in practice: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All Claude API calls live in one module — pain_point_extractor.py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orchestrator doesn't know or care which LLM powers the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prompt format, token counting, and response parsing are isolated in that one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Every other module — fetcher, indexer, query, digest — is 100% LLM-independent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The work to switch providers is a one-afternoon task, not a rewrite.</w:t>
      </w:r>
    </w:p>
    <w:p>
      <w:pPr>
        <w:spacing w:after="0" w:before="200"/>
      </w:pPr>
      <w:r>
        <w:t xml:space="preserve"/>
      </w:r>
    </w:p>
    <w:p>
      <w:pPr>
        <w:pBdr>
          <w:bottom w:val="single" w:color="00B0F0" w:sz="8"/>
        </w:pBdr>
        <w:shd w:fill="1F3864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YOUR SWITCHING OPTIONS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These are the realistic alternatives when Claude pricing becomes untenable: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Current Haiku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AWS Bedrock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Enterprise employers — AWS already deployed, compliance-ready, pay-per-token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Claude Haiku via Bedrock — same model, different billing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OpenAI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GPT-4o-mini — comparable cost to Haiku, widely understood by hiring managers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GPT-4o-mini at ~$0.15/1M input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Google Gemini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Gemini Flash — fast, cheap, strong classification performance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Gemini 1.5 Flash at ~$0.075/1M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Groq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Fastest inference available — open-source models at near-zero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Llama 3.1 8B — free tier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Ollama (local)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Zero token cost — run open-source models on your own hardware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Llama 3.2, Mistral, Phi-3 — no API fees ever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DeepSeek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75% cheaper than US labs — strong performance on classification 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DeepSeek V3 at ~$0.07/1M tokens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0F0" w:sz="8"/>
        </w:pBdr>
        <w:shd w:fill="1F3864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WHAT ACTUALLY NEEDS TO CHANGE TO SWITCH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is the honest technical answer. Because of ADR-009, the scope is small: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pain_point_extractor.py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Replace anthropic client with new SDK. Update model name string. Adjust token counting if needed. Test prompt output format — likely unchanged.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query.py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Same as above — isolated Claude calls. One afternoon of work.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digest.py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Same as above — isolated Claude calls. One afternoon of work.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.env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Swap ANTHROPIC_API_KEY for new provider key. Add new base URL if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Swap anthropic library for new provider SDK.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ADR-002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Update model selection decision. Document new cost baseline and upgrade triggers.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Nothing else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All 5 other modules are LLM-independent. Zero changes required.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0F0" w:sz="8"/>
        </w:pBdr>
        <w:shd w:fill="1F3864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HOW TO MONITOR PRICING BEFORE IT BECOMES A CRISIS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Don't wait until you get a surprise bill. Set these up today: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Anthropic console — set a monthly spend alert at $5 and $10. You'll know before it hurts.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OpenAI pricing page — bookmark it. Check quarterly. Prices move without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Token calculator — before any new project, estimate monthly token consumption at 3 price points: current, 3x, 10x. If 10x breaks the budget, design the abstraction layer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LLM price tracker — llmpricecheck.com tracks pricing across all major providers in real time. Bookmark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Your cost ADR — update ADR-002 whenever you check pricing. Keep the baseline current.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Any new AI project you build — for yourself or an employer — isolate all LLM calls in one module on day one. Name it llm_client.py or ai_connector.py. Never let LLM calls bleed into business logic. This is the discipline that makes your projects portable and makes you the person employers trust to build AI responsibly.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0B0F0" w:sz="8"/>
        </w:pBdr>
        <w:shd w:fill="1F3864" w:val="clear"/>
        <w:spacing w:after="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HOW TO USE THIS IN A JOB INTERVIEW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When an interviewer asks about vendor risk or AI cost governance — this is your answer: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4"/>
                <w:szCs w:val="24"/>
              </w:rPr>
              <w:t xml:space="preserve">"I designed the pipeline model-agnostic from day one. All LLM calls are isolated in a single module. Switching from Claude to GPT-4o or Gemini requires changing one file and one API key. I documented this in ADR-009 — platform strategy — because I recognized that token pricing is not permanent and vendor lock-in is a real risk for enterprise AI projects. The same discipline applies to any AI system I build professionally."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This answer demonstrates: vendor risk awareness, enterprise architecture thinking, cost governance discipline, and the foresight to design for change. Most AI candidates have never thought about this.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Your concern is valid. Your architecture already addresses it. ADR-009 is the proof.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github.com/joatsaint/enterprise-ai-pipeline  |  Randy Skiles  |  May 2026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2026-05-06T15:32:34.200Z</dcterms:created>
  <dcterms:modified xsi:type="dcterms:W3CDTF">2026-05-06T15:32:34.201Z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