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5C"/>
          <w:sz w:val="44"/>
          <w:szCs w:val="44"/>
        </w:rPr>
        <w:t xml:space="preserve">VISION BLUEPRINT</w:t>
      </w:r>
    </w:p>
    <w:p>
      <w:pPr>
        <w:spacing w:after="100" w:before="200"/>
        <w:jc w:val="center"/>
      </w:pPr>
      <w:r>
        <w:rPr>
          <w:b/>
          <w:bCs/>
          <w:color w:val="000000"/>
          <w:sz w:val="30"/>
          <w:szCs w:val="30"/>
        </w:rPr>
        <w:t xml:space="preserve">Inter-Agentic Communication &amp; Data Exchange Protocol</w:t>
      </w:r>
    </w:p>
    <w:p>
      <w:pPr>
        <w:spacing w:after="400"/>
        <w:jc w:val="center"/>
      </w:pPr>
      <w:r>
        <w:rPr>
          <w:i/>
          <w:iCs/>
          <w:color w:val="595959"/>
          <w:sz w:val="20"/>
          <w:szCs w:val="20"/>
        </w:rPr>
        <w:t xml:space="preserve">(working title — protocol name TBD)</w:t>
      </w:r>
    </w:p>
    <w:p>
      <w:pPr>
        <w:spacing w:after="60"/>
        <w:jc w:val="center"/>
      </w:pPr>
      <w:r>
        <w:rPr>
          <w:color w:val="595959"/>
          <w:sz w:val="22"/>
          <w:szCs w:val="22"/>
        </w:rPr>
        <w:t xml:space="preserve">AZZ&amp;CO LABS SAS</w:t>
      </w:r>
    </w:p>
    <w:p>
      <w:pPr>
        <w:spacing w:after="60"/>
        <w:jc w:val="center"/>
      </w:pPr>
      <w:r>
        <w:rPr>
          <w:color w:val="595959"/>
          <w:sz w:val="20"/>
          <w:szCs w:val="20"/>
        </w:rPr>
        <w:t xml:space="preserve">Prepared for Azer Rached (Azz), Founder &amp; President</w:t>
      </w:r>
    </w:p>
    <w:p>
      <w:pPr>
        <w:jc w:val="center"/>
      </w:pPr>
      <w:r>
        <w:rPr>
          <w:color w:val="595959"/>
          <w:sz w:val="20"/>
          <w:szCs w:val="20"/>
        </w:rPr>
        <w:t xml:space="preserve">August 2026</w:t>
      </w:r>
    </w:p>
    <w:p>
      <w:r>
        <w:br w:type="page"/>
      </w:r>
    </w:p>
    <w:p>
      <w:pPr>
        <w:pStyle w:val="Heading1"/>
        <w:spacing w:after="200" w:before="400"/>
      </w:pPr>
      <w:r>
        <w:rPr>
          <w:b/>
          <w:bCs/>
          <w:color w:val="1F4E5C"/>
          <w:sz w:val="30"/>
          <w:szCs w:val="30"/>
        </w:rPr>
        <w:t xml:space="preserve">1. Executive Summary</w:t>
      </w:r>
    </w:p>
    <w:p>
      <w:pPr>
        <w:spacing w:after="160" w:line="300"/>
      </w:pPr>
      <w:r>
        <w:rPr>
          <w:sz w:val="21"/>
          <w:szCs w:val="21"/>
        </w:rPr>
        <w:t xml:space="preserve">This blueprint captures the current shape of a protocol enabling self-hosted AI agent systems — running on infrastructure controlled by their own organization, not a phone carrier or a shared third-party platform — to communicate directly, request data from one another, and make scored decisions about what to request and when. It is designed first for business-to-business (B2B) collaboration between large groups and franchises, and second for business-to-government (B2G) contexts such as hospitals and French public administrations.</w:t>
      </w:r>
    </w:p>
    <w:p>
      <w:pPr>
        <w:spacing w:after="160" w:line="300"/>
      </w:pPr>
      <w:r>
        <w:rPr>
          <w:sz w:val="21"/>
          <w:szCs w:val="21"/>
        </w:rPr>
        <w:t xml:space="preserve">The core departure from existing telephony or messaging rails is architectural: there is no SIM, no carrier, and no centralized platform operator sitting between two organizations’ agents. Identity, routing, and trust are established directly between the parties, using infrastructure each side already owns.</w:t>
      </w:r>
    </w:p>
    <w:p>
      <w:pPr>
        <w:spacing w:after="160" w:line="300"/>
      </w:pPr>
      <w:r>
        <w:rPr>
          <w:sz w:val="21"/>
          <w:szCs w:val="21"/>
        </w:rPr>
        <w:t xml:space="preserve">The flagship use case developed so far is emergency medical data exchange between hospitals, using a proprietary decision-scoring algorithm (AZZING) to determine which records to request, from whom, and how urgently — with a clear generalization path toward other French bureaucratic bodies (OFII, ANEF, préfectures, France Travail).</w:t>
      </w:r>
    </w:p>
    <w:p>
      <w:pPr>
        <w:spacing w:after="200"/>
      </w:pPr>
      <w:r>
        <w:rPr>
          <w:i/>
          <w:iCs/>
          <w:color w:val="595959"/>
          <w:sz w:val="20"/>
          <w:szCs w:val="20"/>
        </w:rPr>
        <w:t xml:space="preserve">This document reflects the architecture and open questions discussed to date. It is a working blueprint, not a finished specification — sections marked “Open” flag decisions still to be made.</w:t>
      </w:r>
    </w:p>
    <w:p>
      <w:pPr>
        <w:pStyle w:val="Heading1"/>
        <w:spacing w:after="200" w:before="400"/>
      </w:pPr>
      <w:r>
        <w:rPr>
          <w:b/>
          <w:bCs/>
          <w:color w:val="1F4E5C"/>
          <w:sz w:val="30"/>
          <w:szCs w:val="30"/>
        </w:rPr>
        <w:t xml:space="preserve">2. Problem Statement</w:t>
      </w:r>
    </w:p>
    <w:p>
      <w:pPr>
        <w:spacing w:after="160" w:line="300"/>
      </w:pPr>
      <w:r>
        <w:rPr>
          <w:sz w:val="21"/>
          <w:szCs w:val="21"/>
        </w:rPr>
        <w:t xml:space="preserve">Traditional telephony (SIM cards, carrier interconnect, PSTN signaling) solves problems that do not apply when both parties are software systems controlled by known, vetted organizations:</w:t>
      </w:r>
    </w:p>
    <w:p>
      <w:pPr>
        <w:pStyle w:val="ListParagraph"/>
        <w:numPr>
          <w:ilvl w:val="0"/>
          <w:numId w:val="2"/>
        </w:numPr>
        <w:spacing w:after="80" w:line="280"/>
      </w:pPr>
      <w:r>
        <w:rPr>
          <w:sz w:val="21"/>
          <w:szCs w:val="21"/>
        </w:rPr>
        <w:t xml:space="preserve">Global E.164 phone-number addressing — unnecessary between two systems that already know each other’s identity.</w:t>
      </w:r>
    </w:p>
    <w:p>
      <w:pPr>
        <w:pStyle w:val="ListParagraph"/>
        <w:numPr>
          <w:ilvl w:val="0"/>
          <w:numId w:val="2"/>
        </w:numPr>
        <w:spacing w:after="80" w:line="280"/>
      </w:pPr>
      <w:r>
        <w:rPr>
          <w:sz w:val="21"/>
          <w:szCs w:val="21"/>
        </w:rPr>
        <w:t xml:space="preserve">Carrier interconnect (SS7) — unnecessary when both endpoints are reachable directly over IP.</w:t>
      </w:r>
    </w:p>
    <w:p>
      <w:pPr>
        <w:pStyle w:val="ListParagraph"/>
        <w:numPr>
          <w:ilvl w:val="0"/>
          <w:numId w:val="2"/>
        </w:numPr>
        <w:spacing w:after="80" w:line="280"/>
      </w:pPr>
      <w:r>
        <w:rPr>
          <w:sz w:val="21"/>
          <w:szCs w:val="21"/>
        </w:rPr>
        <w:t xml:space="preserve">Subscriber KYC — replaced by organization-level vetting (KYB) done once at onboarding, not per call.</w:t>
      </w:r>
    </w:p>
    <w:p>
      <w:pPr>
        <w:spacing w:after="160" w:line="300"/>
      </w:pPr>
      <w:r>
        <w:rPr>
          <w:sz w:val="21"/>
          <w:szCs w:val="21"/>
        </w:rPr>
        <w:t xml:space="preserve">Reusing carrier telephony infrastructure for agent-to-agent (A2A) communication would import all of this unneeded complexity — and none of the anti-fraud/anti-scam machinery built for human callers is even relevant, since no human is being called and no phone number is involved.</w:t>
      </w:r>
    </w:p>
    <w:p>
      <w:pPr>
        <w:pStyle w:val="Heading1"/>
        <w:spacing w:after="200" w:before="400"/>
      </w:pPr>
      <w:r>
        <w:rPr>
          <w:b/>
          <w:bCs/>
          <w:color w:val="1F4E5C"/>
          <w:sz w:val="30"/>
          <w:szCs w:val="30"/>
        </w:rPr>
        <w:t xml:space="preserve">3. Core Architecture</w:t>
      </w:r>
    </w:p>
    <w:p>
      <w:pPr>
        <w:spacing w:after="160" w:line="300"/>
      </w:pPr>
      <w:r>
        <w:rPr>
          <w:sz w:val="21"/>
          <w:szCs w:val="21"/>
        </w:rPr>
        <w:t xml:space="preserve">The protocol stack, mapped onto infrastructure AZZ&amp;CO LABS already operates (Dockerized VPS, FastAPI gateway, PostgreSQL, Prometheus/Grafana):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00"/>
      </w:tblGrid>
      <w:tr>
        <w:tc>
          <w:tcPr>
            <w:tcW w:type="dxa" w:w="1500"/>
            <w:shd w:fill="1F4E5C" w:color="auto" w:val="clear"/>
            <w:tcMar>
              <w:top w:type="dxa" w:w="100"/>
              <w:left w:type="dxa" w:w="120"/>
              <w:bottom w:type="dxa" w:w="100"/>
              <w:right w:type="dxa" w:w="120"/>
            </w:tcMar>
          </w:tcPr>
          <w:p>
            <w:r>
              <w:rPr>
                <w:b/>
                <w:bCs/>
                <w:color w:val="FFFFFF"/>
                <w:sz w:val="19"/>
                <w:szCs w:val="19"/>
              </w:rPr>
              <w:t xml:space="preserve">Layer</w:t>
            </w:r>
          </w:p>
        </w:tc>
        <w:tc>
          <w:tcPr>
            <w:tcW w:type="dxa" w:w="3600"/>
            <w:shd w:fill="1F4E5C" w:color="auto" w:val="clear"/>
            <w:tcMar>
              <w:top w:type="dxa" w:w="100"/>
              <w:left w:type="dxa" w:w="120"/>
              <w:bottom w:type="dxa" w:w="100"/>
              <w:right w:type="dxa" w:w="120"/>
            </w:tcMar>
          </w:tcPr>
          <w:p>
            <w:r>
              <w:rPr>
                <w:b/>
                <w:bCs/>
                <w:color w:val="FFFFFF"/>
                <w:sz w:val="19"/>
                <w:szCs w:val="19"/>
              </w:rPr>
              <w:t xml:space="preserve">Function</w:t>
            </w:r>
          </w:p>
        </w:tc>
        <w:tc>
          <w:tcPr>
            <w:tcW w:type="dxa" w:w="4200"/>
            <w:shd w:fill="1F4E5C" w:color="auto" w:val="clear"/>
            <w:tcMar>
              <w:top w:type="dxa" w:w="100"/>
              <w:left w:type="dxa" w:w="120"/>
              <w:bottom w:type="dxa" w:w="100"/>
              <w:right w:type="dxa" w:w="120"/>
            </w:tcMar>
          </w:tcPr>
          <w:p>
            <w:r>
              <w:rPr>
                <w:b/>
                <w:bCs/>
                <w:color w:val="FFFFFF"/>
                <w:sz w:val="19"/>
                <w:szCs w:val="19"/>
              </w:rPr>
              <w:t xml:space="preserve">Proposed technology</w:t>
            </w:r>
          </w:p>
        </w:tc>
      </w:tr>
      <w:tr>
        <w:tc>
          <w:tcPr>
            <w:tcW w:type="dxa" w:w="1500"/>
            <w:tcMar>
              <w:top w:type="dxa" w:w="100"/>
              <w:left w:type="dxa" w:w="120"/>
              <w:bottom w:type="dxa" w:w="100"/>
              <w:right w:type="dxa" w:w="120"/>
            </w:tcMar>
          </w:tcPr>
          <w:p>
            <w:r>
              <w:rPr>
                <w:b w:val="false"/>
                <w:bCs w:val="false"/>
                <w:color w:val="000000"/>
                <w:sz w:val="19"/>
                <w:szCs w:val="19"/>
              </w:rPr>
              <w:t xml:space="preserve">Directory / Identity</w:t>
            </w:r>
          </w:p>
        </w:tc>
        <w:tc>
          <w:tcPr>
            <w:tcW w:type="dxa" w:w="3600"/>
            <w:tcMar>
              <w:top w:type="dxa" w:w="100"/>
              <w:left w:type="dxa" w:w="120"/>
              <w:bottom w:type="dxa" w:w="100"/>
              <w:right w:type="dxa" w:w="120"/>
            </w:tcMar>
          </w:tcPr>
          <w:p>
            <w:r>
              <w:rPr>
                <w:b w:val="false"/>
                <w:bCs w:val="false"/>
                <w:color w:val="000000"/>
                <w:sz w:val="19"/>
                <w:szCs w:val="19"/>
              </w:rPr>
              <w:t xml:space="preserve">Maps a business or institution ID to its agent endpoint, public key, and capabilities — replaces “phone number” with an owned namespace.</w:t>
            </w:r>
          </w:p>
        </w:tc>
        <w:tc>
          <w:tcPr>
            <w:tcW w:type="dxa" w:w="4200"/>
            <w:tcMar>
              <w:top w:type="dxa" w:w="100"/>
              <w:left w:type="dxa" w:w="120"/>
              <w:bottom w:type="dxa" w:w="100"/>
              <w:right w:type="dxa" w:w="120"/>
            </w:tcMar>
          </w:tcPr>
          <w:p>
            <w:r>
              <w:rPr>
                <w:b w:val="false"/>
                <w:bCs w:val="false"/>
                <w:color w:val="000000"/>
                <w:sz w:val="19"/>
                <w:szCs w:val="19"/>
              </w:rPr>
              <w:t xml:space="preserve">PostgreSQL registry table</w:t>
            </w:r>
          </w:p>
        </w:tc>
      </w:tr>
      <w:tr>
        <w:tc>
          <w:tcPr>
            <w:tcW w:type="dxa" w:w="1500"/>
            <w:shd w:fill="EAF1F3" w:color="auto" w:val="clear"/>
            <w:tcMar>
              <w:top w:type="dxa" w:w="100"/>
              <w:left w:type="dxa" w:w="120"/>
              <w:bottom w:type="dxa" w:w="100"/>
              <w:right w:type="dxa" w:w="120"/>
            </w:tcMar>
          </w:tcPr>
          <w:p>
            <w:r>
              <w:rPr>
                <w:b w:val="false"/>
                <w:bCs w:val="false"/>
                <w:color w:val="000000"/>
                <w:sz w:val="19"/>
                <w:szCs w:val="19"/>
              </w:rPr>
              <w:t xml:space="preserve">Signaling</w:t>
            </w:r>
          </w:p>
        </w:tc>
        <w:tc>
          <w:tcPr>
            <w:tcW w:type="dxa" w:w="3600"/>
            <w:shd w:fill="EAF1F3" w:color="auto" w:val="clear"/>
            <w:tcMar>
              <w:top w:type="dxa" w:w="100"/>
              <w:left w:type="dxa" w:w="120"/>
              <w:bottom w:type="dxa" w:w="100"/>
              <w:right w:type="dxa" w:w="120"/>
            </w:tcMar>
          </w:tcPr>
          <w:p>
            <w:r>
              <w:rPr>
                <w:b w:val="false"/>
                <w:bCs w:val="false"/>
                <w:color w:val="000000"/>
                <w:sz w:val="19"/>
                <w:szCs w:val="19"/>
              </w:rPr>
              <w:t xml:space="preserve">Negotiates a session between two agents: INVITE / ACCEPT / BYE state machine.</w:t>
            </w:r>
          </w:p>
        </w:tc>
        <w:tc>
          <w:tcPr>
            <w:tcW w:type="dxa" w:w="4200"/>
            <w:shd w:fill="EAF1F3" w:color="auto" w:val="clear"/>
            <w:tcMar>
              <w:top w:type="dxa" w:w="100"/>
              <w:left w:type="dxa" w:w="120"/>
              <w:bottom w:type="dxa" w:w="100"/>
              <w:right w:type="dxa" w:w="120"/>
            </w:tcMar>
          </w:tcPr>
          <w:p>
            <w:r>
              <w:rPr>
                <w:b w:val="false"/>
                <w:bCs w:val="false"/>
                <w:color w:val="000000"/>
                <w:sz w:val="19"/>
                <w:szCs w:val="19"/>
              </w:rPr>
              <w:t xml:space="preserve">FastAPI gateway over WebSocket</w:t>
            </w:r>
          </w:p>
        </w:tc>
      </w:tr>
      <w:tr>
        <w:tc>
          <w:tcPr>
            <w:tcW w:type="dxa" w:w="1500"/>
            <w:tcMar>
              <w:top w:type="dxa" w:w="100"/>
              <w:left w:type="dxa" w:w="120"/>
              <w:bottom w:type="dxa" w:w="100"/>
              <w:right w:type="dxa" w:w="120"/>
            </w:tcMar>
          </w:tcPr>
          <w:p>
            <w:r>
              <w:rPr>
                <w:b w:val="false"/>
                <w:bCs w:val="false"/>
                <w:color w:val="000000"/>
                <w:sz w:val="19"/>
                <w:szCs w:val="19"/>
              </w:rPr>
              <w:t xml:space="preserve">Transport (data-only calls)</w:t>
            </w:r>
          </w:p>
        </w:tc>
        <w:tc>
          <w:tcPr>
            <w:tcW w:type="dxa" w:w="3600"/>
            <w:tcMar>
              <w:top w:type="dxa" w:w="100"/>
              <w:left w:type="dxa" w:w="120"/>
              <w:bottom w:type="dxa" w:w="100"/>
              <w:right w:type="dxa" w:w="120"/>
            </w:tcMar>
          </w:tcPr>
          <w:p>
            <w:r>
              <w:rPr>
                <w:b w:val="false"/>
                <w:bCs w:val="false"/>
                <w:color w:val="000000"/>
                <w:sz w:val="19"/>
                <w:szCs w:val="19"/>
              </w:rPr>
              <w:t xml:space="preserve">Structured agent-to-agent exchange — negotiation, file requests, control messages.</w:t>
            </w:r>
          </w:p>
        </w:tc>
        <w:tc>
          <w:tcPr>
            <w:tcW w:type="dxa" w:w="4200"/>
            <w:tcMar>
              <w:top w:type="dxa" w:w="100"/>
              <w:left w:type="dxa" w:w="120"/>
              <w:bottom w:type="dxa" w:w="100"/>
              <w:right w:type="dxa" w:w="120"/>
            </w:tcMar>
          </w:tcPr>
          <w:p>
            <w:r>
              <w:rPr>
                <w:b w:val="false"/>
                <w:bCs w:val="false"/>
                <w:color w:val="000000"/>
                <w:sz w:val="19"/>
                <w:szCs w:val="19"/>
              </w:rPr>
              <w:t xml:space="preserve">gRPC bidirectional streaming or WebRTC data channel</w:t>
            </w:r>
          </w:p>
        </w:tc>
      </w:tr>
      <w:tr>
        <w:tc>
          <w:tcPr>
            <w:tcW w:type="dxa" w:w="1500"/>
            <w:shd w:fill="EAF1F3" w:color="auto" w:val="clear"/>
            <w:tcMar>
              <w:top w:type="dxa" w:w="100"/>
              <w:left w:type="dxa" w:w="120"/>
              <w:bottom w:type="dxa" w:w="100"/>
              <w:right w:type="dxa" w:w="120"/>
            </w:tcMar>
          </w:tcPr>
          <w:p>
            <w:r>
              <w:rPr>
                <w:b w:val="false"/>
                <w:bCs w:val="false"/>
                <w:color w:val="000000"/>
                <w:sz w:val="19"/>
                <w:szCs w:val="19"/>
              </w:rPr>
              <w:t xml:space="preserve">Transport (voice, if ever needed)</w:t>
            </w:r>
          </w:p>
        </w:tc>
        <w:tc>
          <w:tcPr>
            <w:tcW w:type="dxa" w:w="3600"/>
            <w:shd w:fill="EAF1F3" w:color="auto" w:val="clear"/>
            <w:tcMar>
              <w:top w:type="dxa" w:w="100"/>
              <w:left w:type="dxa" w:w="120"/>
              <w:bottom w:type="dxa" w:w="100"/>
              <w:right w:type="dxa" w:w="120"/>
            </w:tcMar>
          </w:tcPr>
          <w:p>
            <w:r>
              <w:rPr>
                <w:b w:val="false"/>
                <w:bCs w:val="false"/>
                <w:color w:val="000000"/>
                <w:sz w:val="19"/>
                <w:szCs w:val="19"/>
              </w:rPr>
              <w:t xml:space="preserve">Only relevant if an agent must eventually bridge into a human-staffed line.</w:t>
            </w:r>
          </w:p>
        </w:tc>
        <w:tc>
          <w:tcPr>
            <w:tcW w:type="dxa" w:w="4200"/>
            <w:shd w:fill="EAF1F3" w:color="auto" w:val="clear"/>
            <w:tcMar>
              <w:top w:type="dxa" w:w="100"/>
              <w:left w:type="dxa" w:w="120"/>
              <w:bottom w:type="dxa" w:w="100"/>
              <w:right w:type="dxa" w:w="120"/>
            </w:tcMar>
          </w:tcPr>
          <w:p>
            <w:r>
              <w:rPr>
                <w:b w:val="false"/>
                <w:bCs w:val="false"/>
                <w:color w:val="000000"/>
                <w:sz w:val="19"/>
                <w:szCs w:val="19"/>
              </w:rPr>
              <w:t xml:space="preserve">WebRTC audio (Opus/RTP), self-hosted TURN</w:t>
            </w:r>
          </w:p>
        </w:tc>
      </w:tr>
      <w:tr>
        <w:tc>
          <w:tcPr>
            <w:tcW w:type="dxa" w:w="1500"/>
            <w:tcMar>
              <w:top w:type="dxa" w:w="100"/>
              <w:left w:type="dxa" w:w="120"/>
              <w:bottom w:type="dxa" w:w="100"/>
              <w:right w:type="dxa" w:w="120"/>
            </w:tcMar>
          </w:tcPr>
          <w:p>
            <w:r>
              <w:rPr>
                <w:b w:val="false"/>
                <w:bCs w:val="false"/>
                <w:color w:val="000000"/>
                <w:sz w:val="19"/>
                <w:szCs w:val="19"/>
              </w:rPr>
              <w:t xml:space="preserve">Authentication</w:t>
            </w:r>
          </w:p>
        </w:tc>
        <w:tc>
          <w:tcPr>
            <w:tcW w:type="dxa" w:w="3600"/>
            <w:tcMar>
              <w:top w:type="dxa" w:w="100"/>
              <w:left w:type="dxa" w:w="120"/>
              <w:bottom w:type="dxa" w:w="100"/>
              <w:right w:type="dxa" w:w="120"/>
            </w:tcMar>
          </w:tcPr>
          <w:p>
            <w:r>
              <w:rPr>
                <w:b w:val="false"/>
                <w:bCs w:val="false"/>
                <w:color w:val="000000"/>
                <w:sz w:val="19"/>
                <w:szCs w:val="19"/>
              </w:rPr>
              <w:t xml:space="preserve">Mutual TLS between gateways; certificate issued per business by a CA the platform operator runs.</w:t>
            </w:r>
          </w:p>
        </w:tc>
        <w:tc>
          <w:tcPr>
            <w:tcW w:type="dxa" w:w="4200"/>
            <w:tcMar>
              <w:top w:type="dxa" w:w="100"/>
              <w:left w:type="dxa" w:w="120"/>
              <w:bottom w:type="dxa" w:w="100"/>
              <w:right w:type="dxa" w:w="120"/>
            </w:tcMar>
          </w:tcPr>
          <w:p>
            <w:r>
              <w:rPr>
                <w:b w:val="false"/>
                <w:bCs w:val="false"/>
                <w:color w:val="000000"/>
                <w:sz w:val="19"/>
                <w:szCs w:val="19"/>
              </w:rPr>
              <w:t xml:space="preserve">mTLS + per-institution certs</w:t>
            </w:r>
          </w:p>
        </w:tc>
      </w:tr>
      <w:tr>
        <w:tc>
          <w:tcPr>
            <w:tcW w:type="dxa" w:w="1500"/>
            <w:shd w:fill="EAF1F3" w:color="auto" w:val="clear"/>
            <w:tcMar>
              <w:top w:type="dxa" w:w="100"/>
              <w:left w:type="dxa" w:w="120"/>
              <w:bottom w:type="dxa" w:w="100"/>
              <w:right w:type="dxa" w:w="120"/>
            </w:tcMar>
          </w:tcPr>
          <w:p>
            <w:r>
              <w:rPr>
                <w:b w:val="false"/>
                <w:bCs w:val="false"/>
                <w:color w:val="000000"/>
                <w:sz w:val="19"/>
                <w:szCs w:val="19"/>
              </w:rPr>
              <w:t xml:space="preserve">Metering / billing</w:t>
            </w:r>
          </w:p>
        </w:tc>
        <w:tc>
          <w:tcPr>
            <w:tcW w:type="dxa" w:w="3600"/>
            <w:shd w:fill="EAF1F3" w:color="auto" w:val="clear"/>
            <w:tcMar>
              <w:top w:type="dxa" w:w="100"/>
              <w:left w:type="dxa" w:w="120"/>
              <w:bottom w:type="dxa" w:w="100"/>
              <w:right w:type="dxa" w:w="120"/>
            </w:tcMar>
          </w:tcPr>
          <w:p>
            <w:r>
              <w:rPr>
                <w:b w:val="false"/>
                <w:bCs w:val="false"/>
                <w:color w:val="000000"/>
                <w:sz w:val="19"/>
                <w:szCs w:val="19"/>
              </w:rPr>
              <w:t xml:space="preserve">Usage-based settlement between agents, no carrier billing cycle.</w:t>
            </w:r>
          </w:p>
        </w:tc>
        <w:tc>
          <w:tcPr>
            <w:tcW w:type="dxa" w:w="4200"/>
            <w:shd w:fill="EAF1F3" w:color="auto" w:val="clear"/>
            <w:tcMar>
              <w:top w:type="dxa" w:w="100"/>
              <w:left w:type="dxa" w:w="120"/>
              <w:bottom w:type="dxa" w:w="100"/>
              <w:right w:type="dxa" w:w="120"/>
            </w:tcMar>
          </w:tcPr>
          <w:p>
            <w:r>
              <w:rPr>
                <w:b w:val="false"/>
                <w:bCs w:val="false"/>
                <w:color w:val="000000"/>
                <w:sz w:val="19"/>
                <w:szCs w:val="19"/>
              </w:rPr>
              <w:t xml:space="preserve">x402-style per-session micropayment handshake</w:t>
            </w:r>
          </w:p>
        </w:tc>
      </w:tr>
      <w:tr>
        <w:tc>
          <w:tcPr>
            <w:tcW w:type="dxa" w:w="1500"/>
            <w:tcMar>
              <w:top w:type="dxa" w:w="100"/>
              <w:left w:type="dxa" w:w="120"/>
              <w:bottom w:type="dxa" w:w="100"/>
              <w:right w:type="dxa" w:w="120"/>
            </w:tcMar>
          </w:tcPr>
          <w:p>
            <w:r>
              <w:rPr>
                <w:b w:val="false"/>
                <w:bCs w:val="false"/>
                <w:color w:val="000000"/>
                <w:sz w:val="19"/>
                <w:szCs w:val="19"/>
              </w:rPr>
              <w:t xml:space="preserve">Observability</w:t>
            </w:r>
          </w:p>
        </w:tc>
        <w:tc>
          <w:tcPr>
            <w:tcW w:type="dxa" w:w="3600"/>
            <w:tcMar>
              <w:top w:type="dxa" w:w="100"/>
              <w:left w:type="dxa" w:w="120"/>
              <w:bottom w:type="dxa" w:w="100"/>
              <w:right w:type="dxa" w:w="120"/>
            </w:tcMar>
          </w:tcPr>
          <w:p>
            <w:r>
              <w:rPr>
                <w:b w:val="false"/>
                <w:bCs w:val="false"/>
                <w:color w:val="000000"/>
                <w:sz w:val="19"/>
                <w:szCs w:val="19"/>
              </w:rPr>
              <w:t xml:space="preserve">Session duration, drop rate, error codes, audit trail.</w:t>
            </w:r>
          </w:p>
        </w:tc>
        <w:tc>
          <w:tcPr>
            <w:tcW w:type="dxa" w:w="4200"/>
            <w:tcMar>
              <w:top w:type="dxa" w:w="100"/>
              <w:left w:type="dxa" w:w="120"/>
              <w:bottom w:type="dxa" w:w="100"/>
              <w:right w:type="dxa" w:w="120"/>
            </w:tcMar>
          </w:tcPr>
          <w:p>
            <w:r>
              <w:rPr>
                <w:b w:val="false"/>
                <w:bCs w:val="false"/>
                <w:color w:val="000000"/>
                <w:sz w:val="19"/>
                <w:szCs w:val="19"/>
              </w:rPr>
              <w:t xml:space="preserve">Prometheus → existing Grafana stack</w:t>
            </w:r>
          </w:p>
        </w:tc>
      </w:tr>
    </w:tbl>
    <w:p>
      <w:pPr>
        <w:spacing w:after="200"/>
      </w:pPr>
    </w:p>
    <w:p>
      <w:pPr>
        <w:spacing w:after="160" w:line="300"/>
      </w:pPr>
      <w:r>
        <w:rPr>
          <w:sz w:val="21"/>
          <w:szCs w:val="21"/>
        </w:rPr>
        <w:t xml:space="preserve">The recurring design question that determines the transport choice: is a given “call” strictly agent↔agent data/control exchange, or does it ever need to carry audio to reach a human-facing line? The two have very different codec and latency requirements.</w:t>
      </w:r>
    </w:p>
    <w:p>
      <w:pPr>
        <w:pStyle w:val="Heading1"/>
        <w:spacing w:after="200" w:before="400"/>
      </w:pPr>
      <w:r>
        <w:rPr>
          <w:b/>
          <w:bCs/>
          <w:color w:val="1F4E5C"/>
          <w:sz w:val="30"/>
          <w:szCs w:val="30"/>
        </w:rPr>
        <w:t xml:space="preserve">4. Decision Intelligence Layer — AZZING Integration</w:t>
      </w:r>
    </w:p>
    <w:p>
      <w:pPr>
        <w:spacing w:after="160" w:line="300"/>
      </w:pPr>
      <w:r>
        <w:rPr>
          <w:sz w:val="21"/>
          <w:szCs w:val="21"/>
        </w:rPr>
        <w:t xml:space="preserve">Rather than dispatching every possible cross-institution request, each candidate request is scored using AZZING (the proprietary weighted-geometric-mean decision framework, v3.1), and only the top-scoring requests are dispatched. This repurposes AZZING’s existing mechanics — sigmoid timing curve, multiplicative structural-vulnerability collapse, network multiplier — for a new domain: real-time request prioritization rather than strategic business decisions.</w:t>
      </w:r>
    </w:p>
    <w:p>
      <w:pPr>
        <w:pStyle w:val="Heading2"/>
        <w:spacing w:after="120" w:before="300"/>
      </w:pPr>
      <w:r>
        <w:rPr>
          <w:b/>
          <w:bCs/>
          <w:color w:val="1F4E5C"/>
          <w:sz w:val="24"/>
          <w:szCs w:val="24"/>
        </w:rPr>
        <w:t xml:space="preserve">Proposed domain-weight table: “Clinical-Emergency” category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700"/>
        <w:gridCol w:w="2200"/>
      </w:tblGrid>
      <w:tr>
        <w:tc>
          <w:tcPr>
            <w:tcW w:type="dxa" w:w="900"/>
            <w:shd w:fill="1F4E5C" w:color="auto" w:val="clear"/>
            <w:tcMar>
              <w:top w:type="dxa" w:w="100"/>
              <w:left w:type="dxa" w:w="120"/>
              <w:bottom w:type="dxa" w:w="100"/>
              <w:right w:type="dxa" w:w="120"/>
            </w:tcMar>
          </w:tcPr>
          <w:p>
            <w:r>
              <w:rPr>
                <w:b/>
                <w:bCs/>
                <w:color w:val="FFFFFF"/>
                <w:sz w:val="19"/>
                <w:szCs w:val="19"/>
              </w:rPr>
              <w:t xml:space="preserve">Var.</w:t>
            </w:r>
          </w:p>
        </w:tc>
        <w:tc>
          <w:tcPr>
            <w:tcW w:type="dxa" w:w="4500"/>
            <w:shd w:fill="1F4E5C" w:color="auto" w:val="clear"/>
            <w:tcMar>
              <w:top w:type="dxa" w:w="100"/>
              <w:left w:type="dxa" w:w="120"/>
              <w:bottom w:type="dxa" w:w="100"/>
              <w:right w:type="dxa" w:w="120"/>
            </w:tcMar>
          </w:tcPr>
          <w:p>
            <w:r>
              <w:rPr>
                <w:b/>
                <w:bCs/>
                <w:color w:val="FFFFFF"/>
                <w:sz w:val="19"/>
                <w:szCs w:val="19"/>
              </w:rPr>
              <w:t xml:space="preserve">Meaning in this domain</w:t>
            </w:r>
          </w:p>
        </w:tc>
        <w:tc>
          <w:tcPr>
            <w:tcW w:type="dxa" w:w="1700"/>
            <w:shd w:fill="1F4E5C" w:color="auto" w:val="clear"/>
            <w:tcMar>
              <w:top w:type="dxa" w:w="100"/>
              <w:left w:type="dxa" w:w="120"/>
              <w:bottom w:type="dxa" w:w="100"/>
              <w:right w:type="dxa" w:w="120"/>
            </w:tcMar>
          </w:tcPr>
          <w:p>
            <w:r>
              <w:rPr>
                <w:b/>
                <w:bCs/>
                <w:color w:val="FFFFFF"/>
                <w:sz w:val="19"/>
                <w:szCs w:val="19"/>
              </w:rPr>
              <w:t xml:space="preserve">Weight</w:t>
            </w:r>
          </w:p>
        </w:tc>
        <w:tc>
          <w:tcPr>
            <w:tcW w:type="dxa" w:w="2200"/>
            <w:shd w:fill="1F4E5C" w:color="auto" w:val="clear"/>
            <w:tcMar>
              <w:top w:type="dxa" w:w="100"/>
              <w:left w:type="dxa" w:w="120"/>
              <w:bottom w:type="dxa" w:w="100"/>
              <w:right w:type="dxa" w:w="120"/>
            </w:tcMar>
          </w:tcPr>
          <w:p>
            <w:r>
              <w:rPr>
                <w:b/>
                <w:bCs/>
                <w:color w:val="FFFFFF"/>
                <w:sz w:val="19"/>
                <w:szCs w:val="19"/>
              </w:rPr>
              <w:t xml:space="preserve">Notes</w:t>
            </w:r>
          </w:p>
        </w:tc>
      </w:tr>
      <w:tr>
        <w:tc>
          <w:tcPr>
            <w:tcW w:type="dxa" w:w="900"/>
            <w:tcMar>
              <w:top w:type="dxa" w:w="100"/>
              <w:left w:type="dxa" w:w="120"/>
              <w:bottom w:type="dxa" w:w="100"/>
              <w:right w:type="dxa" w:w="120"/>
            </w:tcMar>
          </w:tcPr>
          <w:p>
            <w:r>
              <w:rPr>
                <w:b w:val="false"/>
                <w:bCs w:val="false"/>
                <w:color w:val="000000"/>
                <w:sz w:val="19"/>
                <w:szCs w:val="19"/>
              </w:rPr>
              <w:t xml:space="preserve">T̃</w:t>
            </w:r>
          </w:p>
        </w:tc>
        <w:tc>
          <w:tcPr>
            <w:tcW w:type="dxa" w:w="4500"/>
            <w:tcMar>
              <w:top w:type="dxa" w:w="100"/>
              <w:left w:type="dxa" w:w="120"/>
              <w:bottom w:type="dxa" w:w="100"/>
              <w:right w:type="dxa" w:w="120"/>
            </w:tcMar>
          </w:tcPr>
          <w:p>
            <w:r>
              <w:rPr>
                <w:b w:val="false"/>
                <w:bCs w:val="false"/>
                <w:color w:val="000000"/>
                <w:sz w:val="19"/>
                <w:szCs w:val="19"/>
              </w:rPr>
              <w:t xml:space="preserve">Time-to-clinical-deterioration sigmoid.</w:t>
            </w:r>
          </w:p>
        </w:tc>
        <w:tc>
          <w:tcPr>
            <w:tcW w:type="dxa" w:w="1700"/>
            <w:tcMar>
              <w:top w:type="dxa" w:w="100"/>
              <w:left w:type="dxa" w:w="120"/>
              <w:bottom w:type="dxa" w:w="100"/>
              <w:right w:type="dxa" w:w="120"/>
            </w:tcMar>
          </w:tcPr>
          <w:p>
            <w:r>
              <w:rPr>
                <w:b w:val="false"/>
                <w:bCs w:val="false"/>
                <w:color w:val="000000"/>
                <w:sz w:val="19"/>
                <w:szCs w:val="19"/>
              </w:rPr>
              <w:t xml:space="preserve">~0.35 (highest)</w:t>
            </w:r>
          </w:p>
        </w:tc>
        <w:tc>
          <w:tcPr>
            <w:tcW w:type="dxa" w:w="2200"/>
            <w:tcMar>
              <w:top w:type="dxa" w:w="100"/>
              <w:left w:type="dxa" w:w="120"/>
              <w:bottom w:type="dxa" w:w="100"/>
              <w:right w:type="dxa" w:w="120"/>
            </w:tcMar>
          </w:tcPr>
          <w:p>
            <w:r>
              <w:rPr>
                <w:b w:val="false"/>
                <w:bCs w:val="false"/>
                <w:color w:val="000000"/>
                <w:sz w:val="19"/>
                <w:szCs w:val="19"/>
              </w:rPr>
              <w:t xml:space="preserve">Use a sharp k (~0.8, “military” tightness) — not the gradual B2B curve.</w:t>
            </w:r>
          </w:p>
        </w:tc>
      </w:tr>
      <w:tr>
        <w:tc>
          <w:tcPr>
            <w:tcW w:type="dxa" w:w="900"/>
            <w:shd w:fill="EAF1F3" w:color="auto" w:val="clear"/>
            <w:tcMar>
              <w:top w:type="dxa" w:w="100"/>
              <w:left w:type="dxa" w:w="120"/>
              <w:bottom w:type="dxa" w:w="100"/>
              <w:right w:type="dxa" w:w="120"/>
            </w:tcMar>
          </w:tcPr>
          <w:p>
            <w:r>
              <w:rPr>
                <w:b w:val="false"/>
                <w:bCs w:val="false"/>
                <w:color w:val="000000"/>
                <w:sz w:val="19"/>
                <w:szCs w:val="19"/>
              </w:rPr>
              <w:t xml:space="preserve">P̃</w:t>
            </w:r>
          </w:p>
        </w:tc>
        <w:tc>
          <w:tcPr>
            <w:tcW w:type="dxa" w:w="4500"/>
            <w:shd w:fill="EAF1F3" w:color="auto" w:val="clear"/>
            <w:tcMar>
              <w:top w:type="dxa" w:w="100"/>
              <w:left w:type="dxa" w:w="120"/>
              <w:bottom w:type="dxa" w:w="100"/>
              <w:right w:type="dxa" w:w="120"/>
            </w:tcMar>
          </w:tcPr>
          <w:p>
            <w:r>
              <w:rPr>
                <w:b w:val="false"/>
                <w:bCs w:val="false"/>
                <w:color w:val="000000"/>
                <w:sz w:val="19"/>
                <w:szCs w:val="19"/>
              </w:rPr>
              <w:t xml:space="preserve">Does this specific record plausibly change the treatment decision (specialty match to presenting symptom)?</w:t>
            </w:r>
          </w:p>
        </w:tc>
        <w:tc>
          <w:tcPr>
            <w:tcW w:type="dxa" w:w="1700"/>
            <w:shd w:fill="EAF1F3" w:color="auto" w:val="clear"/>
            <w:tcMar>
              <w:top w:type="dxa" w:w="100"/>
              <w:left w:type="dxa" w:w="120"/>
              <w:bottom w:type="dxa" w:w="100"/>
              <w:right w:type="dxa" w:w="120"/>
            </w:tcMar>
          </w:tcPr>
          <w:p>
            <w:r>
              <w:rPr>
                <w:b w:val="false"/>
                <w:bCs w:val="false"/>
                <w:color w:val="000000"/>
                <w:sz w:val="19"/>
                <w:szCs w:val="19"/>
              </w:rPr>
              <w:t xml:space="preserve">~0.30</w:t>
            </w:r>
          </w:p>
        </w:tc>
        <w:tc>
          <w:tcPr>
            <w:tcW w:type="dxa" w:w="2200"/>
            <w:shd w:fill="EAF1F3" w:color="auto" w:val="clear"/>
            <w:tcMar>
              <w:top w:type="dxa" w:w="100"/>
              <w:left w:type="dxa" w:w="120"/>
              <w:bottom w:type="dxa" w:w="100"/>
              <w:right w:type="dxa" w:w="120"/>
            </w:tcMar>
          </w:tcPr>
          <w:p>
            <w:r>
              <w:rPr>
                <w:b w:val="false"/>
                <w:bCs w:val="false"/>
                <w:color w:val="000000"/>
                <w:sz w:val="19"/>
                <w:szCs w:val="19"/>
              </w:rPr>
              <w:t xml:space="preserve">—</w:t>
            </w:r>
          </w:p>
        </w:tc>
      </w:tr>
      <w:tr>
        <w:tc>
          <w:tcPr>
            <w:tcW w:type="dxa" w:w="900"/>
            <w:tcMar>
              <w:top w:type="dxa" w:w="100"/>
              <w:left w:type="dxa" w:w="120"/>
              <w:bottom w:type="dxa" w:w="100"/>
              <w:right w:type="dxa" w:w="120"/>
            </w:tcMar>
          </w:tcPr>
          <w:p>
            <w:r>
              <w:rPr>
                <w:b w:val="false"/>
                <w:bCs w:val="false"/>
                <w:color w:val="000000"/>
                <w:sz w:val="19"/>
                <w:szCs w:val="19"/>
              </w:rPr>
              <w:t xml:space="preserve">S̃</w:t>
            </w:r>
          </w:p>
        </w:tc>
        <w:tc>
          <w:tcPr>
            <w:tcW w:type="dxa" w:w="4500"/>
            <w:tcMar>
              <w:top w:type="dxa" w:w="100"/>
              <w:left w:type="dxa" w:w="120"/>
              <w:bottom w:type="dxa" w:w="100"/>
              <w:right w:type="dxa" w:w="120"/>
            </w:tcMar>
          </w:tcPr>
          <w:p>
            <w:r>
              <w:rPr>
                <w:b w:val="false"/>
                <w:bCs w:val="false"/>
                <w:color w:val="000000"/>
                <w:sz w:val="19"/>
                <w:szCs w:val="19"/>
              </w:rPr>
              <w:t xml:space="preserve">Source-record reliability, completeness, recency.</w:t>
            </w:r>
          </w:p>
        </w:tc>
        <w:tc>
          <w:tcPr>
            <w:tcW w:type="dxa" w:w="1700"/>
            <w:tcMar>
              <w:top w:type="dxa" w:w="100"/>
              <w:left w:type="dxa" w:w="120"/>
              <w:bottom w:type="dxa" w:w="100"/>
              <w:right w:type="dxa" w:w="120"/>
            </w:tcMar>
          </w:tcPr>
          <w:p>
            <w:r>
              <w:rPr>
                <w:b w:val="false"/>
                <w:bCs w:val="false"/>
                <w:color w:val="000000"/>
                <w:sz w:val="19"/>
                <w:szCs w:val="19"/>
              </w:rPr>
              <w:t xml:space="preserve">~0.20</w:t>
            </w:r>
          </w:p>
        </w:tc>
        <w:tc>
          <w:tcPr>
            <w:tcW w:type="dxa" w:w="2200"/>
            <w:tcMar>
              <w:top w:type="dxa" w:w="100"/>
              <w:left w:type="dxa" w:w="120"/>
              <w:bottom w:type="dxa" w:w="100"/>
              <w:right w:type="dxa" w:w="120"/>
            </w:tcMar>
          </w:tcPr>
          <w:p>
            <w:r>
              <w:rPr>
                <w:b w:val="false"/>
                <w:bCs w:val="false"/>
                <w:color w:val="000000"/>
                <w:sz w:val="19"/>
                <w:szCs w:val="19"/>
              </w:rPr>
              <w:t xml:space="preserve">Vulnerabilities still compound multiplicatively as designed.</w:t>
            </w:r>
          </w:p>
        </w:tc>
      </w:tr>
      <w:tr>
        <w:tc>
          <w:tcPr>
            <w:tcW w:type="dxa" w:w="900"/>
            <w:shd w:fill="EAF1F3" w:color="auto" w:val="clear"/>
            <w:tcMar>
              <w:top w:type="dxa" w:w="100"/>
              <w:left w:type="dxa" w:w="120"/>
              <w:bottom w:type="dxa" w:w="100"/>
              <w:right w:type="dxa" w:w="120"/>
            </w:tcMar>
          </w:tcPr>
          <w:p>
            <w:r>
              <w:rPr>
                <w:b w:val="false"/>
                <w:bCs w:val="false"/>
                <w:color w:val="000000"/>
                <w:sz w:val="19"/>
                <w:szCs w:val="19"/>
              </w:rPr>
              <w:t xml:space="preserve">M̃</w:t>
            </w:r>
          </w:p>
        </w:tc>
        <w:tc>
          <w:tcPr>
            <w:tcW w:type="dxa" w:w="4500"/>
            <w:shd w:fill="EAF1F3" w:color="auto" w:val="clear"/>
            <w:tcMar>
              <w:top w:type="dxa" w:w="100"/>
              <w:left w:type="dxa" w:w="120"/>
              <w:bottom w:type="dxa" w:w="100"/>
              <w:right w:type="dxa" w:w="120"/>
            </w:tcMar>
          </w:tcPr>
          <w:p>
            <w:r>
              <w:rPr>
                <w:b w:val="false"/>
                <w:bCs w:val="false"/>
                <w:color w:val="000000"/>
                <w:sz w:val="19"/>
                <w:szCs w:val="19"/>
              </w:rPr>
              <w:t xml:space="preserve">Does retrieving it open or close treatment options?</w:t>
            </w:r>
          </w:p>
        </w:tc>
        <w:tc>
          <w:tcPr>
            <w:tcW w:type="dxa" w:w="1700"/>
            <w:shd w:fill="EAF1F3" w:color="auto" w:val="clear"/>
            <w:tcMar>
              <w:top w:type="dxa" w:w="100"/>
              <w:left w:type="dxa" w:w="120"/>
              <w:bottom w:type="dxa" w:w="100"/>
              <w:right w:type="dxa" w:w="120"/>
            </w:tcMar>
          </w:tcPr>
          <w:p>
            <w:r>
              <w:rPr>
                <w:b w:val="false"/>
                <w:bCs w:val="false"/>
                <w:color w:val="000000"/>
                <w:sz w:val="19"/>
                <w:szCs w:val="19"/>
              </w:rPr>
              <w:t xml:space="preserve">~0.10</w:t>
            </w:r>
          </w:p>
        </w:tc>
        <w:tc>
          <w:tcPr>
            <w:tcW w:type="dxa" w:w="2200"/>
            <w:shd w:fill="EAF1F3" w:color="auto" w:val="clear"/>
            <w:tcMar>
              <w:top w:type="dxa" w:w="100"/>
              <w:left w:type="dxa" w:w="120"/>
              <w:bottom w:type="dxa" w:w="100"/>
              <w:right w:type="dxa" w:w="120"/>
            </w:tcMar>
          </w:tcPr>
          <w:p>
            <w:r>
              <w:rPr>
                <w:b w:val="false"/>
                <w:bCs w:val="false"/>
                <w:color w:val="000000"/>
                <w:sz w:val="19"/>
                <w:szCs w:val="19"/>
              </w:rPr>
              <w:t xml:space="preserve">E.g. clears/creates a contraindication.</w:t>
            </w:r>
          </w:p>
        </w:tc>
      </w:tr>
      <w:tr>
        <w:tc>
          <w:tcPr>
            <w:tcW w:type="dxa" w:w="900"/>
            <w:tcMar>
              <w:top w:type="dxa" w:w="100"/>
              <w:left w:type="dxa" w:w="120"/>
              <w:bottom w:type="dxa" w:w="100"/>
              <w:right w:type="dxa" w:w="120"/>
            </w:tcMar>
          </w:tcPr>
          <w:p>
            <w:r>
              <w:rPr>
                <w:b w:val="false"/>
                <w:bCs w:val="false"/>
                <w:color w:val="000000"/>
                <w:sz w:val="19"/>
                <w:szCs w:val="19"/>
              </w:rPr>
              <w:t xml:space="preserve">ψ̃_V</w:t>
            </w:r>
          </w:p>
        </w:tc>
        <w:tc>
          <w:tcPr>
            <w:tcW w:type="dxa" w:w="4500"/>
            <w:tcMar>
              <w:top w:type="dxa" w:w="100"/>
              <w:left w:type="dxa" w:w="120"/>
              <w:bottom w:type="dxa" w:w="100"/>
              <w:right w:type="dxa" w:w="120"/>
            </w:tcMar>
          </w:tcPr>
          <w:p>
            <w:r>
              <w:rPr>
                <w:b w:val="false"/>
                <w:bCs w:val="false"/>
                <w:color w:val="000000"/>
                <w:sz w:val="19"/>
                <w:szCs w:val="19"/>
              </w:rPr>
              <w:t xml:space="preserve">Not meaningful — no strategic actor’s psychology is at stake.</w:t>
            </w:r>
          </w:p>
        </w:tc>
        <w:tc>
          <w:tcPr>
            <w:tcW w:type="dxa" w:w="1700"/>
            <w:tcMar>
              <w:top w:type="dxa" w:w="100"/>
              <w:left w:type="dxa" w:w="120"/>
              <w:bottom w:type="dxa" w:w="100"/>
              <w:right w:type="dxa" w:w="120"/>
            </w:tcMar>
          </w:tcPr>
          <w:p>
            <w:r>
              <w:rPr>
                <w:b w:val="false"/>
                <w:bCs w:val="false"/>
                <w:color w:val="000000"/>
                <w:sz w:val="19"/>
                <w:szCs w:val="19"/>
              </w:rPr>
              <w:t xml:space="preserve">0</w:t>
            </w:r>
          </w:p>
        </w:tc>
        <w:tc>
          <w:tcPr>
            <w:tcW w:type="dxa" w:w="2200"/>
            <w:tcMar>
              <w:top w:type="dxa" w:w="100"/>
              <w:left w:type="dxa" w:w="120"/>
              <w:bottom w:type="dxa" w:w="100"/>
              <w:right w:type="dxa" w:w="120"/>
            </w:tcMar>
          </w:tcPr>
          <w:p>
            <w:r>
              <w:rPr>
                <w:b w:val="false"/>
                <w:bCs w:val="false"/>
                <w:color w:val="000000"/>
                <w:sz w:val="19"/>
                <w:szCs w:val="19"/>
              </w:rPr>
              <w:t xml:space="preserve">Zero-weighted rather than forced into a proxy.</w:t>
            </w:r>
          </w:p>
        </w:tc>
      </w:tr>
      <w:tr>
        <w:tc>
          <w:tcPr>
            <w:tcW w:type="dxa" w:w="900"/>
            <w:shd w:fill="EAF1F3" w:color="auto" w:val="clear"/>
            <w:tcMar>
              <w:top w:type="dxa" w:w="100"/>
              <w:left w:type="dxa" w:w="120"/>
              <w:bottom w:type="dxa" w:w="100"/>
              <w:right w:type="dxa" w:w="120"/>
            </w:tcMar>
          </w:tcPr>
          <w:p>
            <w:r>
              <w:rPr>
                <w:b w:val="false"/>
                <w:bCs w:val="false"/>
                <w:color w:val="000000"/>
                <w:sz w:val="19"/>
                <w:szCs w:val="19"/>
              </w:rPr>
              <w:t xml:space="preserve">Φ̃</w:t>
            </w:r>
          </w:p>
        </w:tc>
        <w:tc>
          <w:tcPr>
            <w:tcW w:type="dxa" w:w="4500"/>
            <w:shd w:fill="EAF1F3" w:color="auto" w:val="clear"/>
            <w:tcMar>
              <w:top w:type="dxa" w:w="100"/>
              <w:left w:type="dxa" w:w="120"/>
              <w:bottom w:type="dxa" w:w="100"/>
              <w:right w:type="dxa" w:w="120"/>
            </w:tcMar>
          </w:tcPr>
          <w:p>
            <w:r>
              <w:rPr>
                <w:b w:val="false"/>
                <w:bCs w:val="false"/>
                <w:color w:val="000000"/>
                <w:sz w:val="19"/>
                <w:szCs w:val="19"/>
              </w:rPr>
              <w:t xml:space="preserve">Repurposed as corroboration: independent signals pointing to the same record raise confidence.</w:t>
            </w:r>
          </w:p>
        </w:tc>
        <w:tc>
          <w:tcPr>
            <w:tcW w:type="dxa" w:w="1700"/>
            <w:shd w:fill="EAF1F3" w:color="auto" w:val="clear"/>
            <w:tcMar>
              <w:top w:type="dxa" w:w="100"/>
              <w:left w:type="dxa" w:w="120"/>
              <w:bottom w:type="dxa" w:w="100"/>
              <w:right w:type="dxa" w:w="120"/>
            </w:tcMar>
          </w:tcPr>
          <w:p>
            <w:r>
              <w:rPr>
                <w:b w:val="false"/>
                <w:bCs w:val="false"/>
                <w:color w:val="000000"/>
                <w:sz w:val="19"/>
                <w:szCs w:val="19"/>
              </w:rPr>
              <w:t xml:space="preserve">multiplier</w:t>
            </w:r>
          </w:p>
        </w:tc>
        <w:tc>
          <w:tcPr>
            <w:tcW w:type="dxa" w:w="2200"/>
            <w:shd w:fill="EAF1F3" w:color="auto" w:val="clear"/>
            <w:tcMar>
              <w:top w:type="dxa" w:w="100"/>
              <w:left w:type="dxa" w:w="120"/>
              <w:bottom w:type="dxa" w:w="100"/>
              <w:right w:type="dxa" w:w="120"/>
            </w:tcMar>
          </w:tcPr>
          <w:p>
            <w:r>
              <w:rPr>
                <w:b w:val="false"/>
                <w:bCs w:val="false"/>
                <w:color w:val="000000"/>
                <w:sz w:val="19"/>
                <w:szCs w:val="19"/>
              </w:rPr>
              <w:t xml:space="preserve">As originally designed.</w:t>
            </w:r>
          </w:p>
        </w:tc>
      </w:tr>
      <w:tr>
        <w:tc>
          <w:tcPr>
            <w:tcW w:type="dxa" w:w="900"/>
            <w:tcMar>
              <w:top w:type="dxa" w:w="100"/>
              <w:left w:type="dxa" w:w="120"/>
              <w:bottom w:type="dxa" w:w="100"/>
              <w:right w:type="dxa" w:w="120"/>
            </w:tcMar>
          </w:tcPr>
          <w:p>
            <w:r>
              <w:rPr>
                <w:b w:val="false"/>
                <w:bCs w:val="false"/>
                <w:color w:val="000000"/>
                <w:sz w:val="19"/>
                <w:szCs w:val="19"/>
              </w:rPr>
              <w:t xml:space="preserve">E(X)</w:t>
            </w:r>
          </w:p>
        </w:tc>
        <w:tc>
          <w:tcPr>
            <w:tcW w:type="dxa" w:w="4500"/>
            <w:tcMar>
              <w:top w:type="dxa" w:w="100"/>
              <w:left w:type="dxa" w:w="120"/>
              <w:bottom w:type="dxa" w:w="100"/>
              <w:right w:type="dxa" w:w="120"/>
            </w:tcMar>
          </w:tcPr>
          <w:p>
            <w:r>
              <w:rPr>
                <w:b w:val="false"/>
                <w:bCs w:val="false"/>
                <w:color w:val="000000"/>
                <w:sz w:val="19"/>
                <w:szCs w:val="19"/>
              </w:rPr>
              <w:t xml:space="preserve">Wrong-patient-match probability × legal exposure × consent-violation risk.</w:t>
            </w:r>
          </w:p>
        </w:tc>
        <w:tc>
          <w:tcPr>
            <w:tcW w:type="dxa" w:w="1700"/>
            <w:tcMar>
              <w:top w:type="dxa" w:w="100"/>
              <w:left w:type="dxa" w:w="120"/>
              <w:bottom w:type="dxa" w:w="100"/>
              <w:right w:type="dxa" w:w="120"/>
            </w:tcMar>
          </w:tcPr>
          <w:p>
            <w:r>
              <w:rPr>
                <w:b w:val="false"/>
                <w:bCs w:val="false"/>
                <w:color w:val="000000"/>
                <w:sz w:val="19"/>
                <w:szCs w:val="19"/>
              </w:rPr>
              <w:t xml:space="preserve">subtracted</w:t>
            </w:r>
          </w:p>
        </w:tc>
        <w:tc>
          <w:tcPr>
            <w:tcW w:type="dxa" w:w="2200"/>
            <w:tcMar>
              <w:top w:type="dxa" w:w="100"/>
              <w:left w:type="dxa" w:w="120"/>
              <w:bottom w:type="dxa" w:w="100"/>
              <w:right w:type="dxa" w:w="120"/>
            </w:tcMar>
          </w:tcPr>
          <w:p>
            <w:r>
              <w:rPr>
                <w:b w:val="false"/>
                <w:bCs w:val="false"/>
                <w:color w:val="000000"/>
                <w:sz w:val="19"/>
                <w:szCs w:val="19"/>
              </w:rPr>
              <w:t xml:space="preserve">As originally designed.</w:t>
            </w:r>
          </w:p>
        </w:tc>
      </w:tr>
    </w:tbl>
    <w:p>
      <w:pPr>
        <w:spacing w:after="200"/>
      </w:pPr>
    </w:p>
    <w:p>
      <w:pPr>
        <w:spacing w:after="200"/>
      </w:pPr>
      <w:r>
        <w:rPr>
          <w:i/>
          <w:iCs/>
          <w:color w:val="595959"/>
          <w:sz w:val="20"/>
          <w:szCs w:val="20"/>
        </w:rPr>
        <w:t xml:space="preserve">Open: this weight table is a first-pass proposal, not yet validated against real cases the way the core AZZING table has been (41+ logged decisions, 0/41 miss rate). It should earn empirical [EMP] status the same way before being trusted operationally.</w:t>
      </w:r>
    </w:p>
    <w:p>
      <w:pPr>
        <w:pStyle w:val="Heading1"/>
        <w:spacing w:after="200" w:before="400"/>
      </w:pPr>
      <w:r>
        <w:rPr>
          <w:b/>
          <w:bCs/>
          <w:color w:val="1F4E5C"/>
          <w:sz w:val="30"/>
          <w:szCs w:val="30"/>
        </w:rPr>
        <w:t xml:space="preserve">5. Flagship Use Case — Hospital Emergency Interop</w:t>
      </w:r>
    </w:p>
    <w:p>
      <w:pPr>
        <w:spacing w:after="160" w:line="300"/>
      </w:pPr>
      <w:r>
        <w:rPr>
          <w:sz w:val="21"/>
          <w:szCs w:val="21"/>
        </w:rPr>
        <w:t xml:space="preserve">Illustrative scenario: a tourist from Marseille suffers a cardiac event while away from home. Their cardiac treatment history sits with their usual hospital in Marseille. The attending hospital’s agent needs that history — fast, and without the patient able to consent in the moment.</w:t>
      </w:r>
    </w:p>
    <w:p>
      <w:pPr>
        <w:pStyle w:val="Heading2"/>
        <w:spacing w:after="120" w:before="300"/>
      </w:pPr>
      <w:r>
        <w:rPr>
          <w:b/>
          <w:bCs/>
          <w:color w:val="1F4E5C"/>
          <w:sz w:val="24"/>
          <w:szCs w:val="24"/>
        </w:rPr>
        <w:t xml:space="preserve">Pipeline</w:t>
      </w:r>
    </w:p>
    <w:p>
      <w:pPr>
        <w:pStyle w:val="ListParagraph"/>
        <w:numPr>
          <w:ilvl w:val="0"/>
          <w:numId w:val="2"/>
        </w:numPr>
        <w:spacing w:after="80" w:line="280"/>
      </w:pPr>
      <w:r>
        <w:rPr>
          <w:sz w:val="21"/>
          <w:szCs w:val="21"/>
        </w:rPr>
        <w:t xml:space="preserve">Local agent ingests the presenting case (vitals, symptom pattern) and runs an emergency classifier.</w:t>
      </w:r>
    </w:p>
    <w:p>
      <w:pPr>
        <w:pStyle w:val="ListParagraph"/>
        <w:numPr>
          <w:ilvl w:val="0"/>
          <w:numId w:val="2"/>
        </w:numPr>
        <w:spacing w:after="80" w:line="280"/>
      </w:pPr>
      <w:r>
        <w:rPr>
          <w:sz w:val="21"/>
          <w:szCs w:val="21"/>
        </w:rPr>
        <w:t xml:space="preserve">Patient identity resolution against INS (Identité Nationale de Santé, France’s canonical patient identifier) — critical given incomplete information for an unconscious or unfamiliar patient.</w:t>
      </w:r>
    </w:p>
    <w:p>
      <w:pPr>
        <w:pStyle w:val="ListParagraph"/>
        <w:numPr>
          <w:ilvl w:val="0"/>
          <w:numId w:val="2"/>
        </w:numPr>
        <w:spacing w:after="80" w:line="280"/>
      </w:pPr>
      <w:r>
        <w:rPr>
          <w:sz w:val="21"/>
          <w:szCs w:val="21"/>
        </w:rPr>
        <w:t xml:space="preserve">Candidate institution list generated — DMP metadata on “établissement de suivi habituel” often already points to the right hospital.</w:t>
      </w:r>
    </w:p>
    <w:p>
      <w:pPr>
        <w:pStyle w:val="ListParagraph"/>
        <w:numPr>
          <w:ilvl w:val="0"/>
          <w:numId w:val="2"/>
        </w:numPr>
        <w:spacing w:after="80" w:line="280"/>
      </w:pPr>
      <w:r>
        <w:rPr>
          <w:sz w:val="21"/>
          <w:szCs w:val="21"/>
        </w:rPr>
        <w:t xml:space="preserve">AZZING scores each candidate record request; only the top 3 are dispatched.</w:t>
      </w:r>
    </w:p>
    <w:p>
      <w:pPr>
        <w:pStyle w:val="ListParagraph"/>
        <w:numPr>
          <w:ilvl w:val="0"/>
          <w:numId w:val="2"/>
        </w:numPr>
        <w:spacing w:after="80" w:line="280"/>
      </w:pPr>
      <w:r>
        <w:rPr>
          <w:sz w:val="21"/>
          <w:szCs w:val="21"/>
        </w:rPr>
        <w:t xml:space="preserve">Receiving hospital’s agent validates legal basis, encrypts the requested files, and returns them over the transport layer in Section 3.</w:t>
      </w:r>
    </w:p>
    <w:p>
      <w:pPr>
        <w:pStyle w:val="Heading2"/>
        <w:spacing w:after="120" w:before="300"/>
      </w:pPr>
      <w:r>
        <w:rPr>
          <w:b/>
          <w:bCs/>
          <w:color w:val="1F4E5C"/>
          <w:sz w:val="24"/>
          <w:szCs w:val="24"/>
        </w:rPr>
        <w:t xml:space="preserve">Legal basis — align with what already exists</w:t>
      </w:r>
    </w:p>
    <w:p>
      <w:pPr>
        <w:spacing w:after="160" w:line="300"/>
      </w:pPr>
      <w:r>
        <w:rPr>
          <w:sz w:val="21"/>
          <w:szCs w:val="21"/>
        </w:rPr>
        <w:t xml:space="preserve">France already has a break-glass provision for exactly this situation: DMP / Mon Espace Santé supports a “mode urgence” that lets a clinician bypass standard consent when the patient cannot consent and life is at risk. Every cross-institution request in this system should carry that legal-basis flag explicitly, and the receiving agent should validate it before releasing anything — rather than the protocol inventing its own consent-bypass logic from scratch.</w:t>
      </w:r>
    </w:p>
    <w:p>
      <w:pPr>
        <w:pStyle w:val="Heading1"/>
        <w:spacing w:after="200" w:before="400"/>
      </w:pPr>
      <w:r>
        <w:rPr>
          <w:b/>
          <w:bCs/>
          <w:color w:val="1F4E5C"/>
          <w:sz w:val="30"/>
          <w:szCs w:val="30"/>
        </w:rPr>
        <w:t xml:space="preserve">6. Data Sovereignty &amp; Compliance</w:t>
      </w:r>
    </w:p>
    <w:p>
      <w:pPr>
        <w:spacing w:after="160" w:line="300"/>
      </w:pPr>
      <w:r>
        <w:rPr>
          <w:sz w:val="21"/>
          <w:szCs w:val="21"/>
        </w:rPr>
        <w:t xml:space="preserve">Sovereignty here has three independent legs. Missing any one of them undermines the other two:</w:t>
      </w:r>
    </w:p>
    <w:p>
      <w:pPr>
        <w:pStyle w:val="ListParagraph"/>
        <w:numPr>
          <w:ilvl w:val="0"/>
          <w:numId w:val="2"/>
        </w:numPr>
        <w:spacing w:after="80" w:line="280"/>
      </w:pPr>
      <w:r>
        <w:rPr>
          <w:b/>
          <w:bCs/>
          <w:sz w:val="21"/>
          <w:szCs w:val="21"/>
        </w:rPr>
        <w:t xml:space="preserve">HDS v2 certification (hosting). </w:t>
      </w:r>
      <w:r>
        <w:rPr>
          <w:sz w:val="21"/>
          <w:szCs w:val="21"/>
        </w:rPr>
        <w:t xml:space="preserve">As of 16 May 2026 the revised référentiel (Art. L.1111-8 CSP) is fully in force: any host of personal health data for a third party must be HDS-certified, with physical storage inside the EEA, or face penal sanctions. The current AZZ&amp;CO Hostinger/Docker stack is not HDS-certified — each hospital node must run inside its own already-compliant SI, or on an HDS-certified cloud (OVHcloud, Outscale, or an EU region of a certified hyperscaler).</w:t>
      </w:r>
    </w:p>
    <w:p>
      <w:pPr>
        <w:pStyle w:val="ListParagraph"/>
        <w:numPr>
          <w:ilvl w:val="0"/>
          <w:numId w:val="2"/>
        </w:numPr>
        <w:spacing w:after="80" w:line="280"/>
      </w:pPr>
      <w:r>
        <w:rPr>
          <w:b/>
          <w:bCs/>
          <w:sz w:val="21"/>
          <w:szCs w:val="21"/>
        </w:rPr>
        <w:t xml:space="preserve">Self-hosted open-weight model (inference). </w:t>
      </w:r>
      <w:r>
        <w:rPr>
          <w:sz w:val="21"/>
          <w:szCs w:val="21"/>
        </w:rPr>
        <w:t xml:space="preserve">Running an open-weight frontier model (e.g. Kimi K3, Moonshot AI) inside each hospital’s own runtime keeps patient context out of any third-party model API — a genuine and important reduction in exposure. This does not substitute for HDS certification: model sovereignty and infrastructure sovereignty are separate requirements, and both are needed.</w:t>
      </w:r>
    </w:p>
    <w:p>
      <w:pPr>
        <w:pStyle w:val="ListParagraph"/>
        <w:numPr>
          <w:ilvl w:val="0"/>
          <w:numId w:val="2"/>
        </w:numPr>
        <w:spacing w:after="80" w:line="280"/>
      </w:pPr>
      <w:r>
        <w:rPr>
          <w:b/>
          <w:bCs/>
          <w:sz w:val="21"/>
          <w:szCs w:val="21"/>
        </w:rPr>
        <w:t xml:space="preserve">Protocol-level transport security. </w:t>
      </w:r>
      <w:r>
        <w:rPr>
          <w:sz w:val="21"/>
          <w:szCs w:val="21"/>
        </w:rPr>
        <w:t xml:space="preserve">The mTLS / per-institution certificate scheme in Section 3 — the inter-hospital transmission itself is the actual sensitive data flow, independent of which model or which host is used on either end.</w:t>
      </w:r>
    </w:p>
    <w:p>
      <w:pPr>
        <w:pStyle w:val="Heading2"/>
        <w:spacing w:after="120" w:before="300"/>
      </w:pPr>
      <w:r>
        <w:rPr>
          <w:b/>
          <w:bCs/>
          <w:color w:val="1F4E5C"/>
          <w:sz w:val="24"/>
          <w:szCs w:val="24"/>
        </w:rPr>
        <w:t xml:space="preserve">Open risks flagged for follow-up</w:t>
      </w:r>
    </w:p>
    <w:p>
      <w:pPr>
        <w:pStyle w:val="ListParagraph"/>
        <w:numPr>
          <w:ilvl w:val="0"/>
          <w:numId w:val="2"/>
        </w:numPr>
        <w:spacing w:after="80" w:line="280"/>
      </w:pPr>
      <w:r>
        <w:rPr>
          <w:sz w:val="21"/>
          <w:szCs w:val="21"/>
        </w:rPr>
        <w:t xml:space="preserve">Kimi K3’s custom license carves out “internal use” from certain clauses — a hospital-to-hospital exchange spanning two separate legal entities may not qualify as “internal.” Needs review by counsel before this is load-bearing infrastructure.</w:t>
      </w:r>
    </w:p>
    <w:p>
      <w:pPr>
        <w:pStyle w:val="ListParagraph"/>
        <w:numPr>
          <w:ilvl w:val="0"/>
          <w:numId w:val="2"/>
        </w:numPr>
        <w:spacing w:after="80" w:line="280"/>
      </w:pPr>
      <w:r>
        <w:rPr>
          <w:sz w:val="21"/>
          <w:szCs w:val="21"/>
        </w:rPr>
        <w:t xml:space="preserve">If the model is ever fine-tuned or used for RAG over real patient records (rather than staying a generic reasoning layer over structured data pulls), that introduces a new leakage class — memorization risk in weights or embeddings — distinct from stateless inference.</w:t>
      </w:r>
    </w:p>
    <w:p>
      <w:pPr>
        <w:pStyle w:val="ListParagraph"/>
        <w:numPr>
          <w:ilvl w:val="0"/>
          <w:numId w:val="2"/>
        </w:numPr>
        <w:spacing w:after="80" w:line="280"/>
      </w:pPr>
      <w:r>
        <w:rPr>
          <w:sz w:val="21"/>
          <w:szCs w:val="21"/>
        </w:rPr>
        <w:t xml:space="preserve">Model provenance: Moonshot AI is Beijing-based. Not a legal blocker for self-hosted open weights, but EHDS/NIS2 sovereignty discourse increasingly treats model origin as part of the “souveraineté” picture for health infrastructure. An EU-model fallback (e.g. Mistral) costs little to keep on the table and removes this line of questioning entirely with ANS/CNIL reviewers or a hospital DPO.</w:t>
      </w:r>
    </w:p>
    <w:p>
      <w:pPr>
        <w:pStyle w:val="Heading1"/>
        <w:spacing w:after="200" w:before="400"/>
      </w:pPr>
      <w:r>
        <w:rPr>
          <w:b/>
          <w:bCs/>
          <w:color w:val="1F4E5C"/>
          <w:sz w:val="30"/>
          <w:szCs w:val="30"/>
        </w:rPr>
        <w:t xml:space="preserve">7. Security Architecture — A2A Threat Model</w:t>
      </w:r>
    </w:p>
    <w:p>
      <w:pPr>
        <w:spacing w:after="160" w:line="300"/>
      </w:pPr>
      <w:r>
        <w:rPr>
          <w:sz w:val="21"/>
          <w:szCs w:val="21"/>
        </w:rPr>
        <w:t xml:space="preserve">Network-layer controls (mTLS, IP allowlisting, per-institution certificates) authenticate who may open a connection. They do not, and structurally cannot, prevent prompt injection — injected instructions arrive inside the payload of an already-authorized, encrypted message from a trusted, authenticated peer. The realistic vector is free-text clinical fields (discharge summaries, doctor’s notes) concatenated into an agent’s context, not the transport layer.</w:t>
      </w:r>
    </w:p>
    <w:p>
      <w:pPr>
        <w:pStyle w:val="Heading2"/>
        <w:spacing w:after="120" w:before="300"/>
      </w:pPr>
      <w:r>
        <w:rPr>
          <w:b/>
          <w:bCs/>
          <w:color w:val="1F4E5C"/>
          <w:sz w:val="24"/>
          <w:szCs w:val="24"/>
        </w:rPr>
        <w:t xml:space="preserve">Mitigations, layered</w:t>
      </w:r>
    </w:p>
    <w:p>
      <w:pPr>
        <w:pStyle w:val="ListParagraph"/>
        <w:numPr>
          <w:ilvl w:val="0"/>
          <w:numId w:val="2"/>
        </w:numPr>
        <w:spacing w:after="80" w:line="280"/>
      </w:pPr>
      <w:r>
        <w:rPr>
          <w:b/>
          <w:bCs/>
          <w:sz w:val="21"/>
          <w:szCs w:val="21"/>
        </w:rPr>
        <w:t xml:space="preserve">Schema over prose. </w:t>
      </w:r>
      <w:r>
        <w:rPr>
          <w:sz w:val="21"/>
          <w:szCs w:val="21"/>
        </w:rPr>
        <w:t xml:space="preserve">Structured, typed fields (FHIR-style resources, coded values) wherever possible for anything crossing institutions; free text gets extracted into structured fields by a constrained pass before it enters a requesting agent’s decision context, never fed in raw.</w:t>
      </w:r>
    </w:p>
    <w:p>
      <w:pPr>
        <w:pStyle w:val="ListParagraph"/>
        <w:numPr>
          <w:ilvl w:val="0"/>
          <w:numId w:val="2"/>
        </w:numPr>
        <w:spacing w:after="80" w:line="280"/>
      </w:pPr>
      <w:r>
        <w:rPr>
          <w:b/>
          <w:bCs/>
          <w:sz w:val="21"/>
          <w:szCs w:val="21"/>
        </w:rPr>
        <w:t xml:space="preserve">Hard separation of data and control. </w:t>
      </w:r>
      <w:r>
        <w:rPr>
          <w:sz w:val="21"/>
          <w:szCs w:val="21"/>
        </w:rPr>
        <w:t xml:space="preserve">The agent’s action space is a fixed, allow-listed set of operations — even a successful injection cannot make it act outside that enum.</w:t>
      </w:r>
    </w:p>
    <w:p>
      <w:pPr>
        <w:pStyle w:val="ListParagraph"/>
        <w:numPr>
          <w:ilvl w:val="0"/>
          <w:numId w:val="2"/>
        </w:numPr>
        <w:spacing w:after="80" w:line="280"/>
      </w:pPr>
      <w:r>
        <w:rPr>
          <w:b/>
          <w:bCs/>
          <w:sz w:val="21"/>
          <w:szCs w:val="21"/>
        </w:rPr>
        <w:t xml:space="preserve">Least privilege per session. </w:t>
      </w:r>
      <w:r>
        <w:rPr>
          <w:sz w:val="21"/>
          <w:szCs w:val="21"/>
        </w:rPr>
        <w:t xml:space="preserve">An agent handling an inbound file has read/summarize rights only; it cannot itself trigger a new outbound request without a fresh AZZING scoring pass — no chaining.</w:t>
      </w:r>
    </w:p>
    <w:p>
      <w:pPr>
        <w:pStyle w:val="ListParagraph"/>
        <w:numPr>
          <w:ilvl w:val="0"/>
          <w:numId w:val="2"/>
        </w:numPr>
        <w:spacing w:after="80" w:line="280"/>
      </w:pPr>
      <w:r>
        <w:rPr>
          <w:b/>
          <w:bCs/>
          <w:sz w:val="21"/>
          <w:szCs w:val="21"/>
        </w:rPr>
        <w:t xml:space="preserve">Human-in-the-loop on release. </w:t>
      </w:r>
      <w:r>
        <w:rPr>
          <w:sz w:val="21"/>
          <w:szCs w:val="21"/>
        </w:rPr>
        <w:t xml:space="preserve">Auto-dispatching the top-3 scored requests is acceptable; auto-releasing encrypted patient files on the receiving end should require one clinician confirmation, at least until the system has an operating track record.</w:t>
      </w:r>
    </w:p>
    <w:p>
      <w:pPr>
        <w:pStyle w:val="ListParagraph"/>
        <w:numPr>
          <w:ilvl w:val="0"/>
          <w:numId w:val="2"/>
        </w:numPr>
        <w:spacing w:after="80" w:line="280"/>
      </w:pPr>
      <w:r>
        <w:rPr>
          <w:b/>
          <w:bCs/>
          <w:sz w:val="21"/>
          <w:szCs w:val="21"/>
        </w:rPr>
        <w:t xml:space="preserve">A2A content-inspection layer. </w:t>
      </w:r>
      <w:r>
        <w:rPr>
          <w:sz w:val="21"/>
          <w:szCs w:val="21"/>
        </w:rPr>
        <w:t xml:space="preserve">A classifier/guardrail scanning inbound payloads for injected instructions before they reach the agent’s context — complements the structural controls above; not a substitute for them, since injection classifiers carry a real false-negative rate against novel phrasing.</w:t>
      </w:r>
    </w:p>
    <w:p>
      <w:pPr>
        <w:pStyle w:val="ListParagraph"/>
        <w:numPr>
          <w:ilvl w:val="0"/>
          <w:numId w:val="2"/>
        </w:numPr>
        <w:spacing w:after="80" w:line="280"/>
      </w:pPr>
      <w:r>
        <w:rPr>
          <w:b/>
          <w:bCs/>
          <w:sz w:val="21"/>
          <w:szCs w:val="21"/>
        </w:rPr>
        <w:t xml:space="preserve">Full audit trail. </w:t>
      </w:r>
      <w:r>
        <w:rPr>
          <w:sz w:val="21"/>
          <w:szCs w:val="21"/>
        </w:rPr>
        <w:t xml:space="preserve">Every decision’s score inputs, retrieved fields, and dispatched content logged — required in any case for French health-data traçabilité obligations, and doubles as the detection mechanism if injection ever succeeds.</w:t>
      </w:r>
    </w:p>
    <w:p>
      <w:pPr>
        <w:pStyle w:val="Heading1"/>
        <w:spacing w:after="200" w:before="400"/>
      </w:pPr>
      <w:r>
        <w:rPr>
          <w:b/>
          <w:bCs/>
          <w:color w:val="1F4E5C"/>
          <w:sz w:val="30"/>
          <w:szCs w:val="30"/>
        </w:rPr>
        <w:t xml:space="preserve">8. Generalization Path — Beyond Healthcare</w:t>
      </w:r>
    </w:p>
    <w:p>
      <w:pPr>
        <w:spacing w:after="160" w:line="300"/>
      </w:pPr>
      <w:r>
        <w:rPr>
          <w:sz w:val="21"/>
          <w:szCs w:val="21"/>
        </w:rPr>
        <w:t xml:space="preserve">OFII, ANEF, préfectures, and France Travail all sit on the same underlying pain point: bureaucratic bodies repeatedly asking citizens for documents another administration already holds. Critically, France already runs a legal, operational rail for exactly this — DINUM’s API Particulier and API Entreprise, under the “Dites-le-nous une fois” principle (Code des relations entre le public et l’administration, Art. L.114-8+).</w:t>
      </w:r>
    </w:p>
    <w:p>
      <w:pPr>
        <w:spacing w:after="160" w:line="300"/>
      </w:pPr>
      <w:r>
        <w:rPr>
          <w:sz w:val="21"/>
          <w:szCs w:val="21"/>
        </w:rPr>
        <w:t xml:space="preserve">The strategic implication: building a parallel agent-to-agent rail across sovereign administrations from scratch would require each body to independently authorize a new channel — a heavy, slow lift. Positioning the agent runtime instead as an orchestration and prioritization layer on top of API Particulier — using AZZING to decide which of the already-available data pulls actually matter for a given case — reuses an existing legal and technical rail rather than competing with it.</w:t>
      </w:r>
    </w:p>
    <w:p>
      <w:pPr>
        <w:pStyle w:val="Heading1"/>
        <w:spacing w:after="200" w:before="400"/>
      </w:pPr>
      <w:r>
        <w:rPr>
          <w:b/>
          <w:bCs/>
          <w:color w:val="1F4E5C"/>
          <w:sz w:val="30"/>
          <w:szCs w:val="30"/>
        </w:rPr>
        <w:t xml:space="preserve">9. Open Decisions</w:t>
      </w:r>
    </w:p>
    <w:p>
      <w:pPr>
        <w:pStyle w:val="ListParagraph"/>
        <w:numPr>
          <w:ilvl w:val="0"/>
          <w:numId w:val="2"/>
        </w:numPr>
        <w:spacing w:after="80" w:line="280"/>
      </w:pPr>
      <w:r>
        <w:rPr>
          <w:sz w:val="21"/>
          <w:szCs w:val="21"/>
        </w:rPr>
        <w:t xml:space="preserve">Protocol name / branding.</w:t>
      </w:r>
    </w:p>
    <w:p>
      <w:pPr>
        <w:pStyle w:val="ListParagraph"/>
        <w:numPr>
          <w:ilvl w:val="0"/>
          <w:numId w:val="2"/>
        </w:numPr>
        <w:spacing w:after="80" w:line="280"/>
      </w:pPr>
      <w:r>
        <w:rPr>
          <w:sz w:val="21"/>
          <w:szCs w:val="21"/>
        </w:rPr>
        <w:t xml:space="preserve">Which institutions to approach first for a pilot, and under what legal umbrella (hospital IT/DPO sign-off, HDS-certified host selection).</w:t>
      </w:r>
    </w:p>
    <w:p>
      <w:pPr>
        <w:pStyle w:val="ListParagraph"/>
        <w:numPr>
          <w:ilvl w:val="0"/>
          <w:numId w:val="2"/>
        </w:numPr>
        <w:spacing w:after="80" w:line="280"/>
      </w:pPr>
      <w:r>
        <w:rPr>
          <w:sz w:val="21"/>
          <w:szCs w:val="21"/>
        </w:rPr>
        <w:t xml:space="preserve">Whether the clinical-emergency AZZING weight table gets validated against logged real or simulated cases before any live use.</w:t>
      </w:r>
    </w:p>
    <w:p>
      <w:pPr>
        <w:pStyle w:val="ListParagraph"/>
        <w:numPr>
          <w:ilvl w:val="0"/>
          <w:numId w:val="2"/>
        </w:numPr>
        <w:spacing w:after="80" w:line="280"/>
      </w:pPr>
      <w:r>
        <w:rPr>
          <w:sz w:val="21"/>
          <w:szCs w:val="21"/>
        </w:rPr>
        <w:t xml:space="preserve">Kimi K3 license review for the multi-institution serving pattern, and whether an EU-model fallback is prepared in parallel.</w:t>
      </w:r>
    </w:p>
    <w:p>
      <w:pPr>
        <w:pStyle w:val="ListParagraph"/>
        <w:numPr>
          <w:ilvl w:val="0"/>
          <w:numId w:val="2"/>
        </w:numPr>
        <w:spacing w:after="80" w:line="280"/>
      </w:pPr>
      <w:r>
        <w:rPr>
          <w:sz w:val="21"/>
          <w:szCs w:val="21"/>
        </w:rPr>
        <w:t xml:space="preserve">Scope of the content-inspection layer for A2A traffic — build vs. integrate an existing guardrail model.</w:t>
      </w:r>
    </w:p>
    <w:p>
      <w:pPr>
        <w:pStyle w:val="ListParagraph"/>
        <w:numPr>
          <w:ilvl w:val="0"/>
          <w:numId w:val="2"/>
        </w:numPr>
        <w:spacing w:after="80" w:line="280"/>
      </w:pPr>
      <w:r>
        <w:rPr>
          <w:sz w:val="21"/>
          <w:szCs w:val="21"/>
        </w:rPr>
        <w:t xml:space="preserve">How far the OFII/ANEF/France Travail generalization goes before requiring direct engagement with DINUM.</w:t>
      </w:r>
    </w:p>
    <w:p>
      <w:pPr>
        <w:pBdr>
          <w:bottom w:val="single" w:color="CCCCCC" w:sz="6" w:space="1"/>
        </w:pBdr>
        <w:spacing w:after="300"/>
      </w:pPr>
    </w:p>
    <w:p>
      <w:pPr>
        <w:spacing w:after="200"/>
      </w:pPr>
      <w:r>
        <w:rPr>
          <w:i/>
          <w:iCs/>
          <w:color w:val="595959"/>
          <w:sz w:val="20"/>
          <w:szCs w:val="20"/>
        </w:rPr>
        <w:t xml:space="preserve">Prepared as a working document — supersede freely as the architecture firms up.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2026-08-31T23:37:02.393Z</dcterms:created>
  <dcterms:modified xsi:type="dcterms:W3CDTF">2026-08-31T23:37:02.394Z</dcterms:modified>
</cp:coreProperties>
</file>

<file path=docProps/custom.xml><?xml version="1.0" encoding="utf-8"?>
<Properties xmlns="http://schemas.openxmlformats.org/officeDocument/2006/custom-properties" xmlns:vt="http://schemas.openxmlformats.org/officeDocument/2006/docPropsVTypes"/>
</file>