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AF2" w:rsidRPr="00C63A35" w:rsidRDefault="00515D56" w:rsidP="004D1FB4">
      <w:pPr>
        <w:pStyle w:val="CenterTextBold"/>
        <w:spacing w:before="0"/>
        <w:rPr>
          <w:i/>
        </w:rPr>
      </w:pPr>
      <w:bookmarkStart w:id="0" w:name="_GoBack"/>
      <w:bookmarkEnd w:id="0"/>
      <w:r w:rsidRPr="008925A6">
        <w:t xml:space="preserve"> </w:t>
      </w:r>
      <w:r w:rsidR="00386AF2" w:rsidRPr="008925A6">
        <w:t>[</w:t>
      </w:r>
      <w:r w:rsidR="00386AF2" w:rsidRPr="00C63A35">
        <w:rPr>
          <w:i/>
        </w:rPr>
        <w:t>COMPANY NAME</w:t>
      </w:r>
      <w:r w:rsidR="00386AF2" w:rsidRPr="008925A6">
        <w:t>]</w:t>
      </w:r>
    </w:p>
    <w:p w:rsidR="00386AF2" w:rsidRDefault="00386AF2" w:rsidP="00C63A35">
      <w:pPr>
        <w:pStyle w:val="CenterTextBold"/>
      </w:pPr>
      <w:r>
        <w:t>SERIES A</w:t>
      </w:r>
      <w:r w:rsidR="00416F12">
        <w:t>A</w:t>
      </w:r>
      <w:r>
        <w:t xml:space="preserve"> PREFERRED STOCK PURCHASE AGREEMENT</w:t>
      </w:r>
    </w:p>
    <w:p w:rsidR="00386AF2" w:rsidRDefault="00386AF2" w:rsidP="00440BFB">
      <w:pPr>
        <w:jc w:val="both"/>
      </w:pPr>
      <w:r>
        <w:t>This Series A</w:t>
      </w:r>
      <w:r w:rsidR="00416F12">
        <w:t>A</w:t>
      </w:r>
      <w:r>
        <w:t xml:space="preserve"> Preferred Stock Purchase Agreement (this “</w:t>
      </w:r>
      <w:r w:rsidRPr="006D5A8E">
        <w:rPr>
          <w:b/>
        </w:rPr>
        <w:t>Agreement</w:t>
      </w:r>
      <w:r w:rsidR="000B6E16">
        <w:t>”) is made as of _______ __, 20</w:t>
      </w:r>
      <w:r>
        <w:t>__, by and among [</w:t>
      </w:r>
      <w:r w:rsidRPr="0000346E">
        <w:rPr>
          <w:i/>
        </w:rPr>
        <w:t>company name</w:t>
      </w:r>
      <w:r>
        <w:t>], a Delaware corporation (the “</w:t>
      </w:r>
      <w:r w:rsidRPr="006D5A8E">
        <w:rPr>
          <w:b/>
        </w:rPr>
        <w:t>Company</w:t>
      </w:r>
      <w:r>
        <w:t>”), and the persons and entities (each, an “</w:t>
      </w:r>
      <w:r w:rsidRPr="008712B7">
        <w:rPr>
          <w:b/>
        </w:rPr>
        <w:t>Investor</w:t>
      </w:r>
      <w:r>
        <w:t>” and collectively, the “</w:t>
      </w:r>
      <w:r w:rsidRPr="006D5A8E">
        <w:rPr>
          <w:b/>
        </w:rPr>
        <w:t>Investors</w:t>
      </w:r>
      <w:r>
        <w:t xml:space="preserve">”) listed on the Schedule of Investors attached hereto as </w:t>
      </w:r>
      <w:r w:rsidRPr="008925A6">
        <w:t>Exhibit A</w:t>
      </w:r>
      <w:r>
        <w:t xml:space="preserve"> (the “</w:t>
      </w:r>
      <w:r w:rsidRPr="006D5A8E">
        <w:rPr>
          <w:b/>
        </w:rPr>
        <w:t>Schedule of Investors</w:t>
      </w:r>
      <w:r>
        <w:t>”).</w:t>
      </w:r>
    </w:p>
    <w:p w:rsidR="00386AF2" w:rsidRPr="009C739C" w:rsidRDefault="00386AF2" w:rsidP="003F2EDE">
      <w:pPr>
        <w:pStyle w:val="Heading1"/>
        <w:rPr>
          <w:b/>
        </w:rPr>
      </w:pPr>
      <w:r>
        <w:br/>
      </w:r>
      <w:bookmarkStart w:id="1" w:name="_Ref136398843"/>
      <w:bookmarkStart w:id="2" w:name="_Ref136405337"/>
      <w:bookmarkStart w:id="3" w:name="_Ref136405341"/>
      <w:bookmarkStart w:id="4" w:name="_Ref136405344"/>
      <w:bookmarkStart w:id="5" w:name="_Ref136405347"/>
      <w:bookmarkStart w:id="6" w:name="_Ref136405387"/>
      <w:bookmarkStart w:id="7" w:name="_Ref136405395"/>
      <w:bookmarkStart w:id="8" w:name="_Ref136405400"/>
      <w:bookmarkStart w:id="9" w:name="_Ref136405409"/>
      <w:bookmarkStart w:id="10" w:name="_Toc141017626"/>
      <w:r w:rsidRPr="009C739C">
        <w:rPr>
          <w:b/>
        </w:rPr>
        <w:t>Authorization, Sale and Issuance of Series A</w:t>
      </w:r>
      <w:r w:rsidR="00416F12">
        <w:rPr>
          <w:b/>
        </w:rPr>
        <w:t>A</w:t>
      </w:r>
      <w:r w:rsidRPr="009C739C">
        <w:rPr>
          <w:b/>
        </w:rPr>
        <w:t xml:space="preserve"> Preferred Stock </w:t>
      </w:r>
      <w:bookmarkEnd w:id="1"/>
      <w:bookmarkEnd w:id="2"/>
      <w:bookmarkEnd w:id="3"/>
      <w:bookmarkEnd w:id="4"/>
      <w:bookmarkEnd w:id="5"/>
      <w:bookmarkEnd w:id="6"/>
      <w:bookmarkEnd w:id="7"/>
      <w:bookmarkEnd w:id="8"/>
      <w:bookmarkEnd w:id="9"/>
      <w:bookmarkEnd w:id="10"/>
    </w:p>
    <w:p w:rsidR="00386AF2" w:rsidRDefault="00386AF2" w:rsidP="00440BFB">
      <w:pPr>
        <w:jc w:val="both"/>
      </w:pPr>
      <w:bookmarkStart w:id="11" w:name="_Ref136405413"/>
      <w:bookmarkStart w:id="12" w:name="_Toc141017627"/>
      <w:r w:rsidRPr="002769AC">
        <w:rPr>
          <w:i/>
        </w:rPr>
        <w:t>Authorization</w:t>
      </w:r>
      <w:bookmarkEnd w:id="11"/>
      <w:bookmarkEnd w:id="12"/>
      <w:r>
        <w:t>.  The Company will, prior to the Initial Closing</w:t>
      </w:r>
      <w:r w:rsidR="00416F12">
        <w:t xml:space="preserve"> (as defined below), authorize (a) </w:t>
      </w:r>
      <w:r>
        <w:t>the sale and issuance of up to [_______] shares (the “</w:t>
      </w:r>
      <w:r w:rsidRPr="006D5A8E">
        <w:rPr>
          <w:b/>
        </w:rPr>
        <w:t>Shares</w:t>
      </w:r>
      <w:r>
        <w:t>”) of the Company’s Series </w:t>
      </w:r>
      <w:r w:rsidR="00416F12">
        <w:t>AA Preferred Stock, par value $[___] per share</w:t>
      </w:r>
      <w:r>
        <w:t xml:space="preserve"> (the “</w:t>
      </w:r>
      <w:r>
        <w:rPr>
          <w:b/>
        </w:rPr>
        <w:t>Series </w:t>
      </w:r>
      <w:r w:rsidRPr="006D5A8E">
        <w:rPr>
          <w:b/>
        </w:rPr>
        <w:t>A</w:t>
      </w:r>
      <w:r w:rsidR="00416F12">
        <w:rPr>
          <w:b/>
        </w:rPr>
        <w:t>A</w:t>
      </w:r>
      <w:r w:rsidRPr="006D5A8E">
        <w:rPr>
          <w:b/>
        </w:rPr>
        <w:t xml:space="preserve"> Preferred</w:t>
      </w:r>
      <w:r>
        <w:t xml:space="preserve">”), having the rights, privileges, preferences and restrictions set forth in the Amended and Restated </w:t>
      </w:r>
      <w:r w:rsidR="00416F12">
        <w:t>Certificate</w:t>
      </w:r>
      <w:r>
        <w:t xml:space="preserve"> of Incorporation of the Company, in substantially the form attached hereto as </w:t>
      </w:r>
      <w:r w:rsidRPr="008925A6">
        <w:t>Exhibit B</w:t>
      </w:r>
      <w:r>
        <w:t xml:space="preserve"> (the “</w:t>
      </w:r>
      <w:r w:rsidRPr="006D5A8E">
        <w:rPr>
          <w:b/>
        </w:rPr>
        <w:t>Restated Certificate</w:t>
      </w:r>
      <w:r w:rsidR="00416F12">
        <w:t>”) and (b)</w:t>
      </w:r>
      <w:r>
        <w:t xml:space="preserve"> the reservation of shares of Common Stock for issuance upon conversion of the Shares (the “</w:t>
      </w:r>
      <w:r w:rsidRPr="006D5A8E">
        <w:rPr>
          <w:b/>
        </w:rPr>
        <w:t>Conversion Shares</w:t>
      </w:r>
      <w:r>
        <w:t>”).</w:t>
      </w:r>
    </w:p>
    <w:p w:rsidR="00386AF2" w:rsidRDefault="00386AF2" w:rsidP="00440BFB">
      <w:pPr>
        <w:jc w:val="both"/>
      </w:pPr>
      <w:bookmarkStart w:id="13" w:name="_Ref136398670"/>
      <w:bookmarkStart w:id="14" w:name="_Ref141011532"/>
      <w:bookmarkStart w:id="15" w:name="_Toc141017628"/>
      <w:r w:rsidRPr="002769AC">
        <w:rPr>
          <w:i/>
        </w:rPr>
        <w:t>Sale and Issuance of Shares</w:t>
      </w:r>
      <w:bookmarkEnd w:id="14"/>
      <w:bookmarkEnd w:id="15"/>
      <w:r>
        <w:t>.  Subject to the terms and conditions of this Agreement, each Investor agrees, severally and not jointly, to purchase, and the Company agrees to sell and issue to each Investor, the number of Shares set forth in the column designated “Number of Series </w:t>
      </w:r>
      <w:r w:rsidR="00416F12">
        <w:t>A</w:t>
      </w:r>
      <w:r>
        <w:t>A Shares” opposite such Investor’s name on the Schedule of Investors, at a cash purchase pr</w:t>
      </w:r>
      <w:r w:rsidR="00416F12">
        <w:t xml:space="preserve">ice of </w:t>
      </w:r>
      <w:r>
        <w:t>$</w:t>
      </w:r>
      <w:r w:rsidR="00416F12">
        <w:t>[</w:t>
      </w:r>
      <w:r>
        <w:t>_____] per share (the “</w:t>
      </w:r>
      <w:r w:rsidRPr="006D5A8E">
        <w:rPr>
          <w:b/>
        </w:rPr>
        <w:t>Purchase Price</w:t>
      </w:r>
      <w:r>
        <w:t>”).</w:t>
      </w:r>
      <w:r w:rsidR="00FB591B">
        <w:t xml:space="preserve"> </w:t>
      </w:r>
      <w:r>
        <w:t>The Company’s agreement with each Investor is a separate agreement, and the sale and issuance of the Shares to each Investor is a separate sale and issuance.</w:t>
      </w:r>
      <w:bookmarkEnd w:id="13"/>
    </w:p>
    <w:p w:rsidR="00386AF2" w:rsidRPr="009C739C" w:rsidRDefault="00386AF2" w:rsidP="00E63A79">
      <w:pPr>
        <w:pStyle w:val="Heading1"/>
        <w:rPr>
          <w:b/>
        </w:rPr>
      </w:pPr>
      <w:r w:rsidRPr="009C739C">
        <w:br/>
      </w:r>
      <w:bookmarkStart w:id="16" w:name="_Toc141017630"/>
      <w:r w:rsidRPr="009C739C">
        <w:rPr>
          <w:b/>
        </w:rPr>
        <w:t>Closing Dates and Delivery</w:t>
      </w:r>
      <w:bookmarkEnd w:id="16"/>
    </w:p>
    <w:p w:rsidR="00386AF2" w:rsidRDefault="00386AF2" w:rsidP="007C4AD4">
      <w:pPr>
        <w:jc w:val="both"/>
      </w:pPr>
      <w:bookmarkStart w:id="17" w:name="_Ref141011919"/>
      <w:bookmarkStart w:id="18" w:name="_Toc141017631"/>
      <w:r w:rsidRPr="002769AC">
        <w:rPr>
          <w:i/>
        </w:rPr>
        <w:t>Closing</w:t>
      </w:r>
      <w:bookmarkEnd w:id="17"/>
      <w:bookmarkEnd w:id="18"/>
    </w:p>
    <w:p w:rsidR="00386AF2" w:rsidRDefault="00386AF2" w:rsidP="007C4AD4">
      <w:pPr>
        <w:pStyle w:val="Heading3"/>
        <w:jc w:val="both"/>
      </w:pPr>
      <w:r>
        <w:t>The purchase, sale and issuance of the Shares shall take place at one or more closings (each of which is referred to in this Agreement as a “</w:t>
      </w:r>
      <w:r w:rsidRPr="0055352E">
        <w:rPr>
          <w:b/>
        </w:rPr>
        <w:t>Closing</w:t>
      </w:r>
      <w:r>
        <w:t>”).</w:t>
      </w:r>
      <w:r w:rsidR="00FB591B">
        <w:t xml:space="preserve"> </w:t>
      </w:r>
      <w:r>
        <w:t>The initial Closing (the “</w:t>
      </w:r>
      <w:r w:rsidRPr="0055352E">
        <w:rPr>
          <w:b/>
        </w:rPr>
        <w:t>Initial Closing</w:t>
      </w:r>
      <w:r>
        <w:t>”) shall take place at the</w:t>
      </w:r>
      <w:r w:rsidR="00416F12">
        <w:t xml:space="preserve"> Company’s</w:t>
      </w:r>
      <w:r>
        <w:t xml:space="preserve"> offices </w:t>
      </w:r>
      <w:r w:rsidR="00416F12">
        <w:t>at [</w:t>
      </w:r>
      <w:r w:rsidR="00416F12">
        <w:rPr>
          <w:i/>
        </w:rPr>
        <w:t xml:space="preserve">insert </w:t>
      </w:r>
      <w:r w:rsidRPr="00C07F47">
        <w:rPr>
          <w:i/>
        </w:rPr>
        <w:t>address</w:t>
      </w:r>
      <w:r>
        <w:t>], at</w:t>
      </w:r>
      <w:r w:rsidR="00416F12">
        <w:t xml:space="preserve"> [</w:t>
      </w:r>
      <w:r w:rsidR="00416F12">
        <w:rPr>
          <w:i/>
        </w:rPr>
        <w:t>insert time</w:t>
      </w:r>
      <w:r w:rsidR="00416F12">
        <w:t>]</w:t>
      </w:r>
      <w:r>
        <w:t xml:space="preserve"> local time on [</w:t>
      </w:r>
      <w:r w:rsidR="00416F12">
        <w:rPr>
          <w:i/>
        </w:rPr>
        <w:t>insert</w:t>
      </w:r>
      <w:r w:rsidR="00416F12">
        <w:t xml:space="preserve"> </w:t>
      </w:r>
      <w:r w:rsidRPr="00C07F47">
        <w:rPr>
          <w:i/>
        </w:rPr>
        <w:t>initial closing date</w:t>
      </w:r>
      <w:r>
        <w:t xml:space="preserve">], or </w:t>
      </w:r>
      <w:r w:rsidR="00416F12">
        <w:t xml:space="preserve">such other date as the Company </w:t>
      </w:r>
      <w:r>
        <w:t>de</w:t>
      </w:r>
      <w:r w:rsidR="00416F12">
        <w:t>termines in its sole discretion</w:t>
      </w:r>
      <w:r>
        <w:t>.</w:t>
      </w:r>
    </w:p>
    <w:p w:rsidR="00386AF2" w:rsidRDefault="00386AF2" w:rsidP="007C4AD4">
      <w:pPr>
        <w:pStyle w:val="Heading3"/>
        <w:jc w:val="both"/>
      </w:pPr>
      <w:r>
        <w:t>If less than all of the Shares are sold and issued at the Initial Closing, then, subject to the terms and conditions of this Agreement, the Company may sell and issue at one or more subsequent closings (each, a “</w:t>
      </w:r>
      <w:r w:rsidRPr="0055352E">
        <w:rPr>
          <w:b/>
        </w:rPr>
        <w:t>Subsequent Closing</w:t>
      </w:r>
      <w:r w:rsidR="00416F12">
        <w:t>”), within 120</w:t>
      </w:r>
      <w:r>
        <w:t xml:space="preserve"> days after the Initial Closing, up to the balance of the unissued Shares to such persons or entities as </w:t>
      </w:r>
      <w:r w:rsidR="00416F12">
        <w:t xml:space="preserve">may be approved by the Company </w:t>
      </w:r>
      <w:r>
        <w:t xml:space="preserve">in </w:t>
      </w:r>
      <w:r>
        <w:lastRenderedPageBreak/>
        <w:t>its sole discretion.</w:t>
      </w:r>
      <w:r w:rsidR="00FB591B">
        <w:t xml:space="preserve"> </w:t>
      </w:r>
      <w:r>
        <w:t xml:space="preserve">Any such sale and issuance in a Subsequent Closing shall be on the same terms and conditions as those contained herein, and such persons or entities shall, upon execution and delivery of the relevant signature pages, become parties to, </w:t>
      </w:r>
      <w:r w:rsidR="00416F12">
        <w:t>and be bound by, this Agreement and</w:t>
      </w:r>
      <w:r>
        <w:t xml:space="preserve"> the Investors’ Rights Agreement in substantially the form attached hereto as </w:t>
      </w:r>
      <w:r w:rsidRPr="008925A6">
        <w:t>Exhibit </w:t>
      </w:r>
      <w:r w:rsidR="00416F12">
        <w:t>C</w:t>
      </w:r>
      <w:r>
        <w:t xml:space="preserve"> (the “</w:t>
      </w:r>
      <w:r w:rsidRPr="0055352E">
        <w:rPr>
          <w:b/>
        </w:rPr>
        <w:t>Rights Agreement</w:t>
      </w:r>
      <w:bookmarkStart w:id="19" w:name="Here"/>
      <w:bookmarkEnd w:id="19"/>
      <w:r w:rsidR="00416F12">
        <w:t xml:space="preserve">,” </w:t>
      </w:r>
      <w:r>
        <w:t>and together with this Agreement, the “</w:t>
      </w:r>
      <w:r w:rsidRPr="008712B7">
        <w:rPr>
          <w:b/>
        </w:rPr>
        <w:t>Agreements</w:t>
      </w:r>
      <w:r>
        <w:t>”), without the need for an amendment to any of the Agreements except to add such person’s or entity’s name to the appropriate exhibit to such Agreements, and shall have the rights and obligations hereunder and thereunder, in each case as of the date of the applicable Subsequent Closing.</w:t>
      </w:r>
      <w:r w:rsidR="00FB591B">
        <w:t xml:space="preserve"> </w:t>
      </w:r>
      <w:r>
        <w:t>Each Subsequent Closing shall take place at such date, time and place as shall be approved by the Company in its sole discretion</w:t>
      </w:r>
      <w:r w:rsidR="00416F12">
        <w:t>.</w:t>
      </w:r>
    </w:p>
    <w:p w:rsidR="00386AF2" w:rsidRDefault="00386AF2" w:rsidP="007C4AD4">
      <w:pPr>
        <w:pStyle w:val="Heading3"/>
        <w:jc w:val="both"/>
      </w:pPr>
      <w:r>
        <w:t>Immediately after each Closing, the Schedule of Investors will be amended to list the Investors purchasing Shares hereunder and the number of Shares issued to each Investor hereunder at each such Closing.</w:t>
      </w:r>
      <w:r w:rsidR="00FB591B">
        <w:t xml:space="preserve"> </w:t>
      </w:r>
      <w:r>
        <w:t>The Company will furnish to each Investor copies of the amendments to the Schedule of Investors referred to in the preceding sentence.</w:t>
      </w:r>
    </w:p>
    <w:p w:rsidR="00386AF2" w:rsidRDefault="00386AF2" w:rsidP="007C4AD4">
      <w:pPr>
        <w:jc w:val="both"/>
      </w:pPr>
      <w:bookmarkStart w:id="20" w:name="_Toc141017632"/>
      <w:r w:rsidRPr="002769AC">
        <w:rPr>
          <w:i/>
        </w:rPr>
        <w:t>Delivery</w:t>
      </w:r>
      <w:bookmarkEnd w:id="20"/>
      <w:r>
        <w:t xml:space="preserve">.  </w:t>
      </w:r>
      <w:r w:rsidR="0039715C">
        <w:t xml:space="preserve">At each Closing, the Company will </w:t>
      </w:r>
      <w:r w:rsidR="0039715C">
        <w:rPr>
          <w:szCs w:val="24"/>
        </w:rPr>
        <w:t xml:space="preserve">issue the Shares to the Investors by entering such Shares in each Investor’s name as of such date in the books and records of the Company, </w:t>
      </w:r>
      <w:r w:rsidR="0039715C">
        <w:t>against payment of the purchase price therefor as set forth in the column designated “Purchase Price” opposite such Investor’s name on the Schedule of Investors, by (a) check payable to the Company, (b) wire transfer in accordance with the Company’s instructions, (c) cancellation of indebtedness or (d) any combination of the foregoing.</w:t>
      </w:r>
      <w:r w:rsidR="0039715C">
        <w:rPr>
          <w:szCs w:val="24"/>
        </w:rPr>
        <w:t xml:space="preserve">  As promptly thereafter as practicable, the Company will deliver to the each Investor a notice of issuance reflecting the uncertificated Shares, or a stock certificate registered in the name of each such Investor reflecting the Shares. </w:t>
      </w:r>
      <w:r w:rsidR="0039715C">
        <w:t>In the event that payment by an Investor is made, in whole or in part, by cancellation of indebtedness, then such Investor shall surrender to the Company for cancellation at the Closing any evidence of indebtedness or shall execute an instrument of cancellation in form and substance acceptable to the Company</w:t>
      </w:r>
      <w:r>
        <w:t>.</w:t>
      </w:r>
    </w:p>
    <w:p w:rsidR="00386AF2" w:rsidRPr="009C739C" w:rsidRDefault="00386AF2" w:rsidP="00E63A79">
      <w:pPr>
        <w:pStyle w:val="Heading1"/>
        <w:rPr>
          <w:b/>
        </w:rPr>
      </w:pPr>
      <w:r w:rsidRPr="009C739C">
        <w:br/>
      </w:r>
      <w:bookmarkStart w:id="21" w:name="_Ref141011898"/>
      <w:bookmarkStart w:id="22" w:name="_Ref141011945"/>
      <w:bookmarkStart w:id="23" w:name="_Ref141012258"/>
      <w:bookmarkStart w:id="24" w:name="_Toc141017633"/>
      <w:r w:rsidRPr="009C739C">
        <w:rPr>
          <w:b/>
        </w:rPr>
        <w:t>Representations and Warranties of the Company</w:t>
      </w:r>
      <w:bookmarkEnd w:id="21"/>
      <w:bookmarkEnd w:id="22"/>
      <w:bookmarkEnd w:id="23"/>
      <w:bookmarkEnd w:id="24"/>
    </w:p>
    <w:p w:rsidR="00386AF2" w:rsidRDefault="00386AF2" w:rsidP="007C4AD4">
      <w:pPr>
        <w:spacing w:before="0"/>
        <w:jc w:val="both"/>
      </w:pPr>
      <w:r>
        <w:t>A Schedule of Exceptions</w:t>
      </w:r>
      <w:r w:rsidR="00416F12">
        <w:t xml:space="preserve">, if necessary, </w:t>
      </w:r>
      <w:r>
        <w:t>shall be delivered to the Investors in connection with each Closing.</w:t>
      </w:r>
      <w:r w:rsidR="00FB591B">
        <w:t xml:space="preserve"> </w:t>
      </w:r>
      <w:r>
        <w:t>Except as set forth on the Schedule of Exceptions delivered to the Investor</w:t>
      </w:r>
      <w:r w:rsidR="00416F12">
        <w:t>s</w:t>
      </w:r>
      <w:r>
        <w:t xml:space="preserve"> at the applicable Closing, the Company hereby represents and warrants to the Investors as follows:</w:t>
      </w:r>
    </w:p>
    <w:p w:rsidR="00386AF2" w:rsidRDefault="00386AF2">
      <w:pPr>
        <w:jc w:val="both"/>
      </w:pPr>
      <w:bookmarkStart w:id="25" w:name="_Toc141017634"/>
      <w:r w:rsidRPr="002769AC">
        <w:rPr>
          <w:i/>
        </w:rPr>
        <w:t>Organization, Good Standing and Qualification</w:t>
      </w:r>
      <w:bookmarkEnd w:id="25"/>
      <w:r>
        <w:t xml:space="preserve">.  The Company is a corporation duly organized, validly existing and in good standing under the laws of the State of </w:t>
      </w:r>
      <w:r w:rsidR="00416F12">
        <w:t>Delaware</w:t>
      </w:r>
      <w:r>
        <w:t>.</w:t>
      </w:r>
      <w:r w:rsidR="00FB591B">
        <w:t xml:space="preserve"> </w:t>
      </w:r>
      <w:r>
        <w:t>The Company has the requisite corporate power and authority to own and operate its properties and assets, to carry on its business as presently conducted, to execute and deliver the Agreements, to issue and sell the Shares</w:t>
      </w:r>
      <w:r w:rsidR="00416F12">
        <w:t xml:space="preserve"> </w:t>
      </w:r>
      <w:r>
        <w:t xml:space="preserve">and the Conversion Shares and to perform its obligations pursuant to the Agreements and the Restated </w:t>
      </w:r>
      <w:r w:rsidR="00416F12">
        <w:t>Certificate</w:t>
      </w:r>
      <w:r>
        <w:t>.</w:t>
      </w:r>
      <w:r w:rsidR="00FB591B">
        <w:t xml:space="preserve"> </w:t>
      </w:r>
      <w:r>
        <w:t>The Company is presently qualified to do business as a foreign corporation in each jurisdiction where the failure to be so qualified could reasonably be expected to have a material adverse effect on the Company’s financial condition or business as now conducted (a “</w:t>
      </w:r>
      <w:r w:rsidRPr="008712B7">
        <w:rPr>
          <w:b/>
        </w:rPr>
        <w:t>Material Adverse Effect</w:t>
      </w:r>
      <w:r>
        <w:t>”).</w:t>
      </w:r>
    </w:p>
    <w:p w:rsidR="00386AF2" w:rsidRDefault="00386AF2" w:rsidP="007C4AD4">
      <w:pPr>
        <w:jc w:val="both"/>
      </w:pPr>
      <w:bookmarkStart w:id="26" w:name="_Toc141017636"/>
      <w:r w:rsidRPr="002769AC">
        <w:rPr>
          <w:i/>
        </w:rPr>
        <w:lastRenderedPageBreak/>
        <w:t>Capitalization</w:t>
      </w:r>
      <w:bookmarkEnd w:id="26"/>
    </w:p>
    <w:p w:rsidR="00386AF2" w:rsidRDefault="00386AF2" w:rsidP="007C4AD4">
      <w:pPr>
        <w:pStyle w:val="Heading3"/>
        <w:jc w:val="both"/>
      </w:pPr>
      <w:r>
        <w:t>Immediately prior to the Initial Closing, the authorized capital stock of the Company will consist of [_______] shares of Common Stock, of which [_______] shares are issued and outstanding and [_______] shares of Preferred Stock, all of which are designated Series </w:t>
      </w:r>
      <w:r w:rsidR="00416F12">
        <w:t>A</w:t>
      </w:r>
      <w:r>
        <w:t>A Preferred and none of which are issued and outstanding.</w:t>
      </w:r>
      <w:r w:rsidR="00FB591B">
        <w:t xml:space="preserve"> </w:t>
      </w:r>
      <w:r>
        <w:t>The Common Stock and the Series </w:t>
      </w:r>
      <w:r w:rsidR="00416F12">
        <w:t>A</w:t>
      </w:r>
      <w:r>
        <w:t xml:space="preserve">A Preferred shall have the rights, preferences, privileges and restrictions set forth in the Restated </w:t>
      </w:r>
      <w:r w:rsidR="00416F12">
        <w:t>Certificate</w:t>
      </w:r>
      <w:r>
        <w:t>.</w:t>
      </w:r>
    </w:p>
    <w:p w:rsidR="00386AF2" w:rsidRDefault="00386AF2" w:rsidP="007C4AD4">
      <w:pPr>
        <w:pStyle w:val="Heading3"/>
        <w:jc w:val="both"/>
      </w:pPr>
      <w:r>
        <w:t>The outstanding shares have been duly authorized and validly issued in compliance with applicable laws, and are fully paid and nonassessable.</w:t>
      </w:r>
      <w:r w:rsidR="00FB591B">
        <w:t xml:space="preserve"> </w:t>
      </w:r>
    </w:p>
    <w:p w:rsidR="00386AF2" w:rsidRDefault="00386AF2" w:rsidP="007C4AD4">
      <w:pPr>
        <w:pStyle w:val="Heading3"/>
        <w:jc w:val="both"/>
      </w:pPr>
      <w:r>
        <w:t>The Company has reserved:</w:t>
      </w:r>
    </w:p>
    <w:p w:rsidR="00386AF2" w:rsidRDefault="00386AF2" w:rsidP="007C4AD4">
      <w:pPr>
        <w:pStyle w:val="Heading4"/>
        <w:jc w:val="both"/>
      </w:pPr>
      <w:proofErr w:type="gramStart"/>
      <w:r>
        <w:t>the</w:t>
      </w:r>
      <w:proofErr w:type="gramEnd"/>
      <w:r>
        <w:t xml:space="preserve"> Shares for issuance pursuant to this Agreement;</w:t>
      </w:r>
    </w:p>
    <w:p w:rsidR="00386AF2" w:rsidRDefault="00416F12" w:rsidP="007C4AD4">
      <w:pPr>
        <w:ind w:firstLine="2160"/>
        <w:jc w:val="both"/>
      </w:pPr>
      <w:r>
        <w:t xml:space="preserve"> (ii)</w:t>
      </w:r>
      <w:r w:rsidR="00386AF2">
        <w:tab/>
      </w:r>
      <w:proofErr w:type="gramStart"/>
      <w:r w:rsidR="00386AF2">
        <w:t>shares</w:t>
      </w:r>
      <w:proofErr w:type="gramEnd"/>
      <w:r w:rsidR="00386AF2">
        <w:t xml:space="preserve"> of Common Stock (as may be adjusted in accordance with the provisions of the Restated </w:t>
      </w:r>
      <w:r>
        <w:t>Certificate</w:t>
      </w:r>
      <w:r w:rsidR="00386AF2">
        <w:t>) for issuance upon conversion of the Shares; and</w:t>
      </w:r>
    </w:p>
    <w:p w:rsidR="00386AF2" w:rsidRDefault="00416F12" w:rsidP="007C4AD4">
      <w:pPr>
        <w:ind w:firstLine="2160"/>
        <w:jc w:val="both"/>
      </w:pPr>
      <w:r>
        <w:t>(iii)</w:t>
      </w:r>
      <w:r w:rsidR="00386AF2">
        <w:tab/>
        <w:t xml:space="preserve">[_______] shares of Common Stock authorized for issuance to employees, consultants and directors pursuant to its [______] Stock Plan, under which options to purchase [________] shares are issued and outstanding as of the date of this Agreement. </w:t>
      </w:r>
    </w:p>
    <w:p w:rsidR="00386AF2" w:rsidRDefault="00386AF2" w:rsidP="007C4AD4">
      <w:pPr>
        <w:pStyle w:val="Heading3"/>
        <w:jc w:val="both"/>
      </w:pPr>
      <w:r>
        <w:t>The Shares, when issued and delivered and paid for in compliance with the provisions of this Agreement, will be validly issued, fully paid and nonassessable.</w:t>
      </w:r>
      <w:r w:rsidR="00FB591B">
        <w:t xml:space="preserve"> </w:t>
      </w:r>
      <w:r>
        <w:t>The Conversion Shares have been duly and validly reserved and, when issued in compliance with the provisions of this Agreement, the Restated Certif</w:t>
      </w:r>
      <w:r w:rsidR="00416F12">
        <w:t xml:space="preserve">icate </w:t>
      </w:r>
      <w:r>
        <w:t>and applicable law, will be validly issued, fully paid and nonassessable.</w:t>
      </w:r>
      <w:r w:rsidR="00FB591B">
        <w:t xml:space="preserve"> </w:t>
      </w:r>
      <w:r>
        <w:t xml:space="preserve">The Shares and the Conversion Shares will be free of any liens or encumbrances, other than any liens or encumbrances created by or imposed upon the Investors; </w:t>
      </w:r>
      <w:r w:rsidRPr="008925A6">
        <w:rPr>
          <w:i/>
        </w:rPr>
        <w:t>provided, however</w:t>
      </w:r>
      <w:r>
        <w:t>, that the Shares and the Conversion Shares are subject to restrictions on transfer under U.S. state and/or federal securities laws and as set forth herein and in the Rights Agreement.</w:t>
      </w:r>
      <w:r w:rsidR="00FB591B">
        <w:t xml:space="preserve"> </w:t>
      </w:r>
      <w:r>
        <w:t>Except as se</w:t>
      </w:r>
      <w:r w:rsidR="00416F12">
        <w:t>t forth in the Rights Agreement,</w:t>
      </w:r>
      <w:r>
        <w:t xml:space="preserve"> the Shares and the Conversion Shares are not subject to any preemptive rights or rights of first refusal.</w:t>
      </w:r>
    </w:p>
    <w:p w:rsidR="00386AF2" w:rsidRDefault="00386AF2" w:rsidP="007C4AD4">
      <w:pPr>
        <w:jc w:val="both"/>
      </w:pPr>
      <w:bookmarkStart w:id="27" w:name="_Toc141017637"/>
      <w:r w:rsidRPr="004C3FC2">
        <w:rPr>
          <w:i/>
        </w:rPr>
        <w:t>Authorization</w:t>
      </w:r>
      <w:bookmarkEnd w:id="27"/>
      <w:r>
        <w:t xml:space="preserve">.  All corporate action on the part of the Company and its directors, officers and </w:t>
      </w:r>
      <w:r w:rsidR="00416F12">
        <w:t>stockholders</w:t>
      </w:r>
      <w:r>
        <w:t xml:space="preserve"> necessary for the authorization, execution and delivery of the Agreements by the Company, the authorization, sale, issuance and delivery of the Shares</w:t>
      </w:r>
      <w:r w:rsidR="00416F12">
        <w:t xml:space="preserve"> </w:t>
      </w:r>
      <w:r>
        <w:t>and the Conversion Shares, and the performance of all of the Company’s obligations under the Agreements has been taken or will be taken prior to the Initial Closing.</w:t>
      </w:r>
      <w:r w:rsidR="00FB591B">
        <w:t xml:space="preserve"> </w:t>
      </w:r>
      <w:r>
        <w:t>The Agreements, when executed and delivered by the Company, shall constitute valid and binding obligations of the Company, enforceable in accordance with their terms, except (i) as limited by laws of general application relating to bankruptcy, insol</w:t>
      </w:r>
      <w:r w:rsidR="00416F12">
        <w:t>vency and the relief of debtors and</w:t>
      </w:r>
      <w:r>
        <w:t xml:space="preserve"> (ii) as limited by rules of law governing specific performance, injunctive relief or other equitable remedies and </w:t>
      </w:r>
      <w:r w:rsidR="00416F12">
        <w:t>by general principles of equity</w:t>
      </w:r>
      <w:r>
        <w:t>.</w:t>
      </w:r>
    </w:p>
    <w:p w:rsidR="00386AF2" w:rsidRDefault="00386AF2">
      <w:pPr>
        <w:pStyle w:val="CenterText"/>
        <w:jc w:val="left"/>
        <w:rPr>
          <w:i/>
        </w:rPr>
      </w:pPr>
      <w:bookmarkStart w:id="28" w:name="_Toc141017638"/>
      <w:r w:rsidRPr="004C3FC2">
        <w:rPr>
          <w:i/>
        </w:rPr>
        <w:lastRenderedPageBreak/>
        <w:t>Financial Statements</w:t>
      </w:r>
      <w:bookmarkEnd w:id="28"/>
      <w:r>
        <w:t>.</w:t>
      </w:r>
      <w:r w:rsidR="00416F12">
        <w:t xml:space="preserve"> </w:t>
      </w:r>
      <w:r>
        <w:t>The Company was recently formed, has not yet begun significant operations, and has not pre</w:t>
      </w:r>
      <w:r w:rsidR="00416F12">
        <w:t>pared any financial statements.</w:t>
      </w:r>
    </w:p>
    <w:p w:rsidR="00386AF2" w:rsidRDefault="00386AF2" w:rsidP="007C4AD4">
      <w:pPr>
        <w:jc w:val="both"/>
      </w:pPr>
      <w:bookmarkStart w:id="29" w:name="_Toc141017640"/>
      <w:r w:rsidRPr="004C3FC2">
        <w:rPr>
          <w:i/>
        </w:rPr>
        <w:t>Material Contracts</w:t>
      </w:r>
      <w:bookmarkEnd w:id="29"/>
      <w:r>
        <w:t>.</w:t>
      </w:r>
      <w:r w:rsidR="00416F12">
        <w:t xml:space="preserve">  All of the Company’s agreements and contracts in effect as of the date of this Agreement with a value in excess of [$25,000] and all other contracts deemed material by the Company are as set forth in the Schedule of Exceptions (the “</w:t>
      </w:r>
      <w:r w:rsidR="00416F12">
        <w:rPr>
          <w:b/>
        </w:rPr>
        <w:t>Material Contracts</w:t>
      </w:r>
      <w:r w:rsidR="00416F12">
        <w:t>”).</w:t>
      </w:r>
      <w:r>
        <w:t> </w:t>
      </w:r>
      <w:bookmarkStart w:id="30" w:name="_Ref136398751"/>
      <w:r w:rsidR="00416F12">
        <w:t xml:space="preserve"> The Material Contracts are, to the Company’s knowledge, valid, binding and in full force and effect in all material respects, subject to the laws of general application relating to bankruptcy, insolvency and the relief of debtors and the rules of law governing specific performance, injunctive relief and other equitable remedies. </w:t>
      </w:r>
      <w:bookmarkEnd w:id="30"/>
    </w:p>
    <w:p w:rsidR="00386AF2" w:rsidRDefault="00386AF2">
      <w:pPr>
        <w:jc w:val="both"/>
      </w:pPr>
      <w:bookmarkStart w:id="31" w:name="_Toc141017641"/>
      <w:r w:rsidRPr="004C3FC2">
        <w:rPr>
          <w:i/>
        </w:rPr>
        <w:t>Intellectual Property</w:t>
      </w:r>
      <w:bookmarkEnd w:id="31"/>
      <w:r w:rsidR="00416F12">
        <w:t xml:space="preserve">.  </w:t>
      </w:r>
      <w:r>
        <w:t xml:space="preserve">To the knowledge of the Company (without having conducted any special </w:t>
      </w:r>
      <w:r w:rsidR="00416F12">
        <w:t>investigation or patent search)</w:t>
      </w:r>
      <w:r>
        <w:t>,</w:t>
      </w:r>
      <w:r w:rsidR="00416F12">
        <w:t xml:space="preserve"> the Company owns or possesses </w:t>
      </w:r>
      <w:r>
        <w:t>or can obtain o</w:t>
      </w:r>
      <w:r w:rsidR="00416F12">
        <w:t>n commercially reasonable terms</w:t>
      </w:r>
      <w:r>
        <w:t xml:space="preserve"> sufficient legal rights to all patents, trademarks, service marks, trade names, copyrights, trade secrets, licenses (software or otherwise), information, processes and similar proprietary rights (“</w:t>
      </w:r>
      <w:r w:rsidRPr="008712B7">
        <w:rPr>
          <w:b/>
        </w:rPr>
        <w:t>Intellectual Property</w:t>
      </w:r>
      <w:r>
        <w:t>”) necessary to the business of the Company as presently conducted, the lack of which could reasonably be expected to ha</w:t>
      </w:r>
      <w:r w:rsidR="00416F12">
        <w:t xml:space="preserve">ve a Material Adverse Effect.  </w:t>
      </w:r>
      <w:r>
        <w:t>Except for agreements with its own employees or consultants, standard end-user license agreements, support/maintenance agreements and agreements entered in the ordinary course of the Company’s business, there are no outstanding options, licenses or agreements relating to the Intellectual Property, and the Company is not bound by or a party to any options, licenses or agreements with respect to the Intellectual Property of any other person or entity.</w:t>
      </w:r>
      <w:r w:rsidR="00FB591B">
        <w:t xml:space="preserve"> </w:t>
      </w:r>
      <w:r>
        <w:t>The Company has not received any written communication alleging that the Company has violated any of the Intellectual Property</w:t>
      </w:r>
      <w:r w:rsidR="00416F12">
        <w:t xml:space="preserve"> of any other person or entity.</w:t>
      </w:r>
    </w:p>
    <w:p w:rsidR="00386AF2" w:rsidRDefault="00416F12">
      <w:pPr>
        <w:pStyle w:val="Heading3"/>
        <w:jc w:val="both"/>
      </w:pPr>
      <w:r>
        <w:t xml:space="preserve"> </w:t>
      </w:r>
      <w:bookmarkStart w:id="32" w:name="_Toc141017642"/>
      <w:r w:rsidRPr="0060665C">
        <w:rPr>
          <w:i/>
        </w:rPr>
        <w:t>Proprietary Information and Invention Assignment</w:t>
      </w:r>
      <w:bookmarkEnd w:id="32"/>
      <w:r>
        <w:t>.  Each technical and senior managerial</w:t>
      </w:r>
      <w:r w:rsidR="00386AF2">
        <w:t xml:space="preserve"> employee of the Company has executed a confidential information and</w:t>
      </w:r>
      <w:r>
        <w:t xml:space="preserve"> invention assignment agreement</w:t>
      </w:r>
      <w:r w:rsidR="00386AF2">
        <w:t>.</w:t>
      </w:r>
      <w:r>
        <w:t xml:space="preserve">  </w:t>
      </w:r>
      <w:r w:rsidR="00386AF2">
        <w:t xml:space="preserve">To the knowledge of the Company, no </w:t>
      </w:r>
      <w:r>
        <w:t>such employee</w:t>
      </w:r>
      <w:r w:rsidR="00386AF2">
        <w:t xml:space="preserve"> is in violation of such confidential information and invention assignment agreement</w:t>
      </w:r>
      <w:r>
        <w:t>.</w:t>
      </w:r>
    </w:p>
    <w:p w:rsidR="00386AF2" w:rsidRDefault="00386AF2" w:rsidP="007C4AD4">
      <w:pPr>
        <w:jc w:val="both"/>
      </w:pPr>
      <w:bookmarkStart w:id="33" w:name="_Toc141017643"/>
      <w:r w:rsidRPr="0060665C">
        <w:rPr>
          <w:i/>
        </w:rPr>
        <w:t>Title to Properties and Assets; Liens</w:t>
      </w:r>
      <w:bookmarkEnd w:id="33"/>
      <w:r>
        <w:t>.  The Company has good and marketable title to its properties and assets, and has good title to all its leasehold interests, in each case subject to no material mortgage, pledge, lien, lease, encumbrance or charge, other than (i) liens for current taxes not yet due and payable, (ii) liens imposed by law and incurred in the ordinary course of business for obligations not past due, (iii) liens in respect of pledges or deposits under workers’ compensation laws or similar legislation, and (iv) liens, encumbrances and defects in title which do not in any case materially detract from the value of the property subject thereto or have a Material Adverse Effect, and which have not arisen otherwise than in the ordinary course of business.</w:t>
      </w:r>
      <w:r w:rsidR="00FB591B">
        <w:t xml:space="preserve"> </w:t>
      </w:r>
    </w:p>
    <w:p w:rsidR="00386AF2" w:rsidRDefault="00386AF2">
      <w:pPr>
        <w:pStyle w:val="Heading3"/>
        <w:numPr>
          <w:ilvl w:val="0"/>
          <w:numId w:val="0"/>
        </w:numPr>
        <w:jc w:val="both"/>
      </w:pPr>
      <w:bookmarkStart w:id="34" w:name="_Toc141017644"/>
      <w:r w:rsidRPr="0060665C">
        <w:rPr>
          <w:i/>
        </w:rPr>
        <w:t>Compliance with Other Instruments</w:t>
      </w:r>
      <w:bookmarkEnd w:id="34"/>
      <w:r w:rsidR="00416F12">
        <w:t xml:space="preserve">.  </w:t>
      </w:r>
      <w:r>
        <w:t xml:space="preserve">The Company is not in violation of any material term of its </w:t>
      </w:r>
      <w:r w:rsidR="00416F12">
        <w:t>Certificate</w:t>
      </w:r>
      <w:r>
        <w:t xml:space="preserve"> of Incorporation or Bylaws, each as amended to date, or, to the Company’s knowledge, in any material respect o</w:t>
      </w:r>
      <w:r w:rsidR="00416F12">
        <w:t>f any term or provision of any material</w:t>
      </w:r>
      <w:r>
        <w:t xml:space="preserve"> indebtedness, </w:t>
      </w:r>
      <w:r w:rsidR="00416F12">
        <w:t>contract</w:t>
      </w:r>
      <w:r>
        <w:t xml:space="preserve"> </w:t>
      </w:r>
      <w:r w:rsidR="00416F12">
        <w:t xml:space="preserve">or agreement </w:t>
      </w:r>
      <w:r>
        <w:t>to which it is party which would have a Material Adverse Effect.</w:t>
      </w:r>
      <w:r w:rsidR="00FB591B">
        <w:t xml:space="preserve"> </w:t>
      </w:r>
      <w:r w:rsidR="00416F12">
        <w:t>To the Company’s knowledge,</w:t>
      </w:r>
      <w:r>
        <w:t xml:space="preserve"> the Company is not in violation of any federal or state statute, rule or regulation applicable to the Company </w:t>
      </w:r>
      <w:r>
        <w:lastRenderedPageBreak/>
        <w:t>the violation of which would have a Material Adverse Effect.</w:t>
      </w:r>
      <w:r w:rsidR="00FB591B">
        <w:t xml:space="preserve"> </w:t>
      </w:r>
      <w:r>
        <w:t>The execution and delivery of the Agreements by the Company, the performance by the Company of its obligations pursuant to the Agreements, and the issuance of the Shares</w:t>
      </w:r>
      <w:r w:rsidR="00416F12">
        <w:t xml:space="preserve"> </w:t>
      </w:r>
      <w:r>
        <w:t xml:space="preserve">and the Conversion Shares, will not result in any material violation of, or materially conflict with, or constitute a material default under, the Company’s </w:t>
      </w:r>
      <w:r w:rsidR="00416F12">
        <w:t>Certificate</w:t>
      </w:r>
      <w:r>
        <w:t xml:space="preserve"> of Incorporation or Bylaws, each as </w:t>
      </w:r>
      <w:r w:rsidR="00416F12">
        <w:t xml:space="preserve">may be </w:t>
      </w:r>
      <w:r>
        <w:t>amended to date</w:t>
      </w:r>
      <w:r w:rsidR="00416F12">
        <w:t xml:space="preserve">. </w:t>
      </w:r>
    </w:p>
    <w:p w:rsidR="00386AF2" w:rsidRDefault="00416F12">
      <w:pPr>
        <w:jc w:val="both"/>
      </w:pPr>
      <w:bookmarkStart w:id="35" w:name="_Toc141017651"/>
      <w:r>
        <w:t xml:space="preserve"> </w:t>
      </w:r>
      <w:r w:rsidR="00386AF2" w:rsidRPr="006B1568">
        <w:rPr>
          <w:i/>
        </w:rPr>
        <w:t>Tax Returns and Payments</w:t>
      </w:r>
      <w:bookmarkEnd w:id="35"/>
      <w:r w:rsidR="00386AF2">
        <w:t>.  The Company has timely filed all tax returns required to be filed by it with appropriate federal, state and local governmental agencies, except where the failure to do so would not have a Material Adverse Effect.</w:t>
      </w:r>
      <w:r w:rsidR="00FB591B">
        <w:t xml:space="preserve"> </w:t>
      </w:r>
      <w:r w:rsidR="00386AF2">
        <w:t>These returns and reports are true and correct in all material respects.</w:t>
      </w:r>
      <w:r w:rsidR="00FB591B">
        <w:t xml:space="preserve"> </w:t>
      </w:r>
      <w:r w:rsidR="00386AF2">
        <w:t>All taxes shown to be due and payable on such returns, any assessments imposed, and, to the Company’s knowledge, all other taxes due and payable by t</w:t>
      </w:r>
      <w:r>
        <w:t xml:space="preserve">he Company </w:t>
      </w:r>
      <w:r w:rsidR="00386AF2">
        <w:t>o</w:t>
      </w:r>
      <w:r>
        <w:t>n or before the Initial Closing</w:t>
      </w:r>
      <w:r w:rsidR="00386AF2">
        <w:t xml:space="preserve"> have been paid or will be paid prior to the time they become delinquent.</w:t>
      </w:r>
    </w:p>
    <w:p w:rsidR="00386AF2" w:rsidRPr="009C739C" w:rsidRDefault="00386AF2" w:rsidP="00E63A79">
      <w:pPr>
        <w:pStyle w:val="Heading1"/>
        <w:rPr>
          <w:b/>
        </w:rPr>
      </w:pPr>
      <w:r w:rsidRPr="009C739C">
        <w:br/>
      </w:r>
      <w:bookmarkStart w:id="36" w:name="_Ref136398803"/>
      <w:bookmarkStart w:id="37" w:name="_Toc141017664"/>
      <w:r w:rsidRPr="009C739C">
        <w:rPr>
          <w:b/>
        </w:rPr>
        <w:t>Representations and Warranties of the Investors</w:t>
      </w:r>
      <w:bookmarkEnd w:id="36"/>
      <w:bookmarkEnd w:id="37"/>
    </w:p>
    <w:p w:rsidR="00386AF2" w:rsidRDefault="00386AF2" w:rsidP="007C4AD4">
      <w:pPr>
        <w:spacing w:before="0"/>
        <w:jc w:val="both"/>
      </w:pPr>
      <w:r>
        <w:t>Each Investor hereby, severally and not jointly, represents and warrants to the Company as follows:</w:t>
      </w:r>
    </w:p>
    <w:p w:rsidR="00386AF2" w:rsidRDefault="00386AF2" w:rsidP="007C4AD4">
      <w:pPr>
        <w:jc w:val="both"/>
      </w:pPr>
      <w:bookmarkStart w:id="38" w:name="_Toc141017665"/>
      <w:r w:rsidRPr="007A23AA">
        <w:rPr>
          <w:i/>
        </w:rPr>
        <w:t>No Registration</w:t>
      </w:r>
      <w:bookmarkEnd w:id="38"/>
      <w:r>
        <w:t>.  Such Investor understands that the Shares</w:t>
      </w:r>
      <w:r w:rsidR="00416F12">
        <w:t xml:space="preserve"> </w:t>
      </w:r>
      <w:r>
        <w:t>and the Conversion Shares, have not been, and will not be, registered under the Securities Act by reason of a specific exemption from the registration provisions of the Securities Act, the availability of which depends upon, among other things, the bona fide nature of the investment intent and the accuracy of such Investor’s representations as expressed herein or otherwise made pursuant hereto.</w:t>
      </w:r>
    </w:p>
    <w:p w:rsidR="00386AF2" w:rsidRDefault="00386AF2" w:rsidP="007C4AD4">
      <w:pPr>
        <w:jc w:val="both"/>
      </w:pPr>
      <w:bookmarkStart w:id="39" w:name="_Toc141017666"/>
      <w:r w:rsidRPr="007A23AA">
        <w:rPr>
          <w:i/>
        </w:rPr>
        <w:t>Investment Intent</w:t>
      </w:r>
      <w:bookmarkEnd w:id="39"/>
      <w:r>
        <w:t>.  Such Investor is acquiring the Shares</w:t>
      </w:r>
      <w:r w:rsidR="00416F12">
        <w:t xml:space="preserve"> </w:t>
      </w:r>
      <w:r>
        <w:t>and the Conversion Shares, for investment for its own account, not as a nominee or agent, and not with the view to, or for resale in connection with, any distribution thereof, and that such Investor has no present intention of selling, granting any participation in, or otherwise distributing the same.</w:t>
      </w:r>
      <w:r w:rsidR="00FB591B">
        <w:t xml:space="preserve"> </w:t>
      </w:r>
      <w:r>
        <w:t>Such Investor further represents that it does not have any contract, undertaking, agreement or arrangement with any person or entity to sell, transfer or grant participation to such person or entity or to any third person or entity with respect to any of the Shares</w:t>
      </w:r>
      <w:r w:rsidR="00416F12">
        <w:t xml:space="preserve"> </w:t>
      </w:r>
      <w:r>
        <w:t>or the Conversion Shares.</w:t>
      </w:r>
    </w:p>
    <w:p w:rsidR="00386AF2" w:rsidRDefault="00386AF2" w:rsidP="007C4AD4">
      <w:pPr>
        <w:jc w:val="both"/>
      </w:pPr>
      <w:bookmarkStart w:id="40" w:name="_Toc141017667"/>
      <w:r w:rsidRPr="007A23AA">
        <w:rPr>
          <w:i/>
        </w:rPr>
        <w:t>Investment Experience</w:t>
      </w:r>
      <w:bookmarkEnd w:id="40"/>
      <w:r>
        <w:t>.  Such Inv</w:t>
      </w:r>
      <w:r w:rsidR="00416F12">
        <w:t xml:space="preserve">estor </w:t>
      </w:r>
      <w:r>
        <w:t>has substantial experience in evaluating and investing in private placement transactions of securities in companies similar to the Company and acknowledges that such Investor can protect its own interests.</w:t>
      </w:r>
      <w:r w:rsidR="00FB591B">
        <w:t xml:space="preserve"> </w:t>
      </w:r>
      <w:r>
        <w:t>Such Investor has such knowledge and experience in financial and business matters so that such Investor is capable of evaluating the merits and risks of its investment in the Company.</w:t>
      </w:r>
    </w:p>
    <w:p w:rsidR="00386AF2" w:rsidRDefault="00386AF2" w:rsidP="007C4AD4">
      <w:pPr>
        <w:jc w:val="both"/>
      </w:pPr>
      <w:bookmarkStart w:id="41" w:name="_Toc141017668"/>
      <w:r w:rsidRPr="007A23AA">
        <w:rPr>
          <w:i/>
        </w:rPr>
        <w:t>Speculative Nature of Investment</w:t>
      </w:r>
      <w:bookmarkEnd w:id="41"/>
      <w:r>
        <w:t>.  Such Investor understands and acknowledges that the Company has a limited financial and operating history and that an investment in the Company is highly speculative and involves substantial risks.</w:t>
      </w:r>
      <w:r w:rsidR="00FB591B">
        <w:t xml:space="preserve"> </w:t>
      </w:r>
      <w:r>
        <w:t>Such Investor can bear the economic risk of such Investor’s investment and is able, without impairing such Investor’s financial condition, to hold the Shares</w:t>
      </w:r>
      <w:r w:rsidR="00416F12">
        <w:t xml:space="preserve"> </w:t>
      </w:r>
      <w:r>
        <w:t xml:space="preserve">and </w:t>
      </w:r>
      <w:r>
        <w:lastRenderedPageBreak/>
        <w:t>the Conversion Shares for an indefinite period of time and to suffer a complete loss of such Investor’s investment.</w:t>
      </w:r>
    </w:p>
    <w:p w:rsidR="00386AF2" w:rsidRDefault="00386AF2" w:rsidP="007C4AD4">
      <w:pPr>
        <w:jc w:val="both"/>
      </w:pPr>
      <w:bookmarkStart w:id="42" w:name="_Toc141017669"/>
      <w:r w:rsidRPr="007A23AA">
        <w:rPr>
          <w:i/>
        </w:rPr>
        <w:t>Access to Data</w:t>
      </w:r>
      <w:bookmarkEnd w:id="42"/>
      <w:r>
        <w:t>.  Such Investor has had an opportunity to ask questions of, and receive answers from, the officers of the Company concerning the Agreements, the exhibits and schedules attached hereto and thereto and the transactions contemplated by the Agreements, as well as the Company’s business, management and financial affairs, which questions were answered to its satisfaction.</w:t>
      </w:r>
      <w:r w:rsidR="00FB591B">
        <w:t xml:space="preserve"> </w:t>
      </w:r>
      <w:r>
        <w:t>Such Investor believes that it has received all the information such Investor considers necessary or appropriate for deciding whether to purchase the Shares</w:t>
      </w:r>
      <w:r w:rsidR="00416F12">
        <w:t xml:space="preserve"> </w:t>
      </w:r>
      <w:r>
        <w:t>and the Conversion Shares.</w:t>
      </w:r>
      <w:r w:rsidR="00FB591B">
        <w:t xml:space="preserve"> </w:t>
      </w:r>
      <w:r>
        <w:t>Such Investor understands that such discussions, as well as any information issued by the Company, were intended to describe certain aspects of the Company’s business and prospects, but were not necessarily a thorough or</w:t>
      </w:r>
      <w:r w:rsidR="00416F12">
        <w:t xml:space="preserve"> exhaustive description.</w:t>
      </w:r>
      <w:r w:rsidR="00FB591B">
        <w:t xml:space="preserve"> </w:t>
      </w:r>
      <w:r>
        <w:t>Such Investor acknowledges that any business plans prepared by the Company have been, and continue to be, subject to change and that any projections included in such business plans or otherwise are necessarily speculative in nature, and it can be expected that some or all of the assumptions underlying the projections will not materialize or will vary significantly from actual results.</w:t>
      </w:r>
      <w:r w:rsidR="00FB591B">
        <w:t xml:space="preserve"> </w:t>
      </w:r>
      <w:r>
        <w:t xml:space="preserve">Such Investor also acknowledges that it is </w:t>
      </w:r>
      <w:r w:rsidR="00416F12">
        <w:t xml:space="preserve">not </w:t>
      </w:r>
      <w:r>
        <w:t xml:space="preserve">relying on any statements or representations of the Company or its agents for legal advice with respect to this investment or the transactions </w:t>
      </w:r>
      <w:r w:rsidR="00416F12">
        <w:t>contemplated by the Agreements.</w:t>
      </w:r>
    </w:p>
    <w:p w:rsidR="00386AF2" w:rsidRDefault="00386AF2" w:rsidP="007C4AD4">
      <w:pPr>
        <w:jc w:val="both"/>
      </w:pPr>
      <w:bookmarkStart w:id="43" w:name="_Toc141017670"/>
      <w:r w:rsidRPr="007A23AA">
        <w:rPr>
          <w:i/>
        </w:rPr>
        <w:t>Accredited Investor</w:t>
      </w:r>
      <w:bookmarkEnd w:id="43"/>
      <w:r>
        <w:t>.  The Investor is an “accredited investor” within the meaning of Regulation D, Rule 501(a), promulgated by the Securities and Exchange Commission under the Securities Act and shall submit to the Company such further assurances of such status as may be reasonably requested by the Company.</w:t>
      </w:r>
    </w:p>
    <w:p w:rsidR="00386AF2" w:rsidRDefault="00386AF2" w:rsidP="007C4AD4">
      <w:pPr>
        <w:jc w:val="both"/>
      </w:pPr>
      <w:bookmarkStart w:id="44" w:name="_Toc141017671"/>
      <w:r w:rsidRPr="007A23AA">
        <w:rPr>
          <w:i/>
        </w:rPr>
        <w:t>Residency</w:t>
      </w:r>
      <w:bookmarkEnd w:id="44"/>
      <w:r>
        <w:t>.  The residency of the Investor (or, in the case of a partnership or corporation, such entity’s principal place of business) is correctly set forth on the Schedule of Investors.</w:t>
      </w:r>
    </w:p>
    <w:p w:rsidR="00386AF2" w:rsidRDefault="00386AF2" w:rsidP="007C4AD4">
      <w:pPr>
        <w:jc w:val="both"/>
      </w:pPr>
      <w:bookmarkStart w:id="45" w:name="_Toc141017672"/>
      <w:r w:rsidRPr="007A23AA">
        <w:rPr>
          <w:i/>
        </w:rPr>
        <w:t>Rule 144</w:t>
      </w:r>
      <w:bookmarkEnd w:id="45"/>
      <w:r>
        <w:t>.  Such Investor acknowledges that the Shares</w:t>
      </w:r>
      <w:r w:rsidR="00416F12">
        <w:t xml:space="preserve"> </w:t>
      </w:r>
      <w:r>
        <w:t>and the Conversion Shares must be held indefinitely unless subsequently registered under the Securities Act or an exemption from such registration is available.</w:t>
      </w:r>
      <w:r w:rsidR="00FB591B">
        <w:t xml:space="preserve"> </w:t>
      </w:r>
      <w:r>
        <w:t>Such Investor is aware of the provisions of Rule 144 promulgated under the Securities Act which permit limited resale of shares purchased in a private placement subject to the satisfaction of certain conditions, including among other things, the existence of a public market for the shares, the availability of certain current public information about the Company, the resale occurring not less than one year after a party has purchased and paid for the security to be sold, the sale being effected through a “broker’s transaction” or in transactions directly with a “market maker” and the number of shares being sold during any three-month period not exceeding specified limitations.</w:t>
      </w:r>
      <w:r w:rsidR="00FB591B">
        <w:t xml:space="preserve"> </w:t>
      </w:r>
      <w:r>
        <w:t>Such Investor understands that the current public information referred to above is not now available and the Company has no present plans to make such information available.</w:t>
      </w:r>
      <w:r w:rsidR="00FB591B">
        <w:t xml:space="preserve"> </w:t>
      </w:r>
      <w:r>
        <w:t>Such Investor acknowledges and understands that notwithstanding any obligation under the Rights Agreement, the Company may not be satisfying the current public information requirement of Rule 144 at the time the Investor wishes to sell the Shares</w:t>
      </w:r>
      <w:r w:rsidR="00416F12">
        <w:t xml:space="preserve"> </w:t>
      </w:r>
      <w:r>
        <w:t>or the Conversion Shares, and that, in such event, the Investor may be precluded from selling such securities under Rule 144, even if the other requirements of Rule 144 have been satisfied.</w:t>
      </w:r>
      <w:r w:rsidR="00FB591B">
        <w:t xml:space="preserve"> </w:t>
      </w:r>
      <w:r>
        <w:t xml:space="preserve">Such Investor acknowledges that, in the event all of the requirements of Rule 144 are not met, registration under the Securities Act or an exemption from registration will be required </w:t>
      </w:r>
      <w:r>
        <w:lastRenderedPageBreak/>
        <w:t>for any disposition of the Shares</w:t>
      </w:r>
      <w:r w:rsidR="00416F12">
        <w:t xml:space="preserve"> </w:t>
      </w:r>
      <w:r>
        <w:t>or the underlying Common Stock.</w:t>
      </w:r>
      <w:r w:rsidR="00FB591B">
        <w:t xml:space="preserve"> </w:t>
      </w:r>
      <w:r>
        <w:t>Such Investor understands that, although Rule 144 is not exclusive, the Securities and Exchange Commission has expressed its opinion that persons proposing to sell restricted securities received in a private offering other than in a registered offering or pursuant to Rule 144 will have a substantial burden of proof in establishing that an exemption from registration is available for such offers or sales and that such persons and the brokers who participate in the transactions do so at their own risk.</w:t>
      </w:r>
    </w:p>
    <w:p w:rsidR="00386AF2" w:rsidRDefault="00386AF2" w:rsidP="007C4AD4">
      <w:pPr>
        <w:jc w:val="both"/>
      </w:pPr>
      <w:bookmarkStart w:id="46" w:name="_Toc141017673"/>
      <w:r w:rsidRPr="007A23AA">
        <w:rPr>
          <w:i/>
        </w:rPr>
        <w:t>No Public Market</w:t>
      </w:r>
      <w:bookmarkEnd w:id="46"/>
      <w:r>
        <w:t>.  Such Investor understands and acknowledges that no public market now exists for any of the securities issued by the Company and that the Company has made no assurances that a public market will ever exist for the Company’s securities.</w:t>
      </w:r>
    </w:p>
    <w:p w:rsidR="00386AF2" w:rsidRDefault="00386AF2" w:rsidP="007C4AD4">
      <w:pPr>
        <w:jc w:val="both"/>
      </w:pPr>
      <w:bookmarkStart w:id="47" w:name="_Toc141017674"/>
      <w:r w:rsidRPr="007A23AA">
        <w:rPr>
          <w:i/>
        </w:rPr>
        <w:t>Authorization</w:t>
      </w:r>
      <w:bookmarkEnd w:id="47"/>
    </w:p>
    <w:p w:rsidR="00386AF2" w:rsidRDefault="00386AF2" w:rsidP="007C4AD4">
      <w:pPr>
        <w:pStyle w:val="Heading3"/>
        <w:jc w:val="both"/>
      </w:pPr>
      <w:r>
        <w:t>Such Investor has all requisite power and authority to execute and deliver the Agreements, to purchase the Shares hereunder and to carry out and perform its obligations under the terms of the Agreements.</w:t>
      </w:r>
      <w:r w:rsidR="00FB591B">
        <w:t xml:space="preserve"> </w:t>
      </w:r>
      <w:r>
        <w:t>All action on the part of the Investor necessary for the authorization, execution, delivery and performance of the Agreements, and the performance of all of the Investor’s obligations under the Agreements, has been taken or will be taken prior to the Closing.</w:t>
      </w:r>
    </w:p>
    <w:p w:rsidR="00386AF2" w:rsidRDefault="00386AF2" w:rsidP="007C4AD4">
      <w:pPr>
        <w:pStyle w:val="Heading3"/>
        <w:jc w:val="both"/>
      </w:pPr>
      <w:r>
        <w:t>The Agreements, when executed and delivered by the Investor, will constitute valid and legally binding obligations of the Investor, enforceable in accordance with their terms except: (i) to the extent that the indemnification provisions contained in the Rights Agreement may be limited by applicable law and principles of public policy, (ii) as limited by applicable bankruptcy, insolvency, reorganization, moratorium and other laws of general application affecting enforcement of creditors’ rights generally, and (iii) as limited by laws relating to the availability of specific performance, injunctive relief or other equitable remedies or by general principles of equity.</w:t>
      </w:r>
    </w:p>
    <w:p w:rsidR="00386AF2" w:rsidRDefault="00386AF2" w:rsidP="007C4AD4">
      <w:pPr>
        <w:pStyle w:val="Heading3"/>
        <w:jc w:val="both"/>
      </w:pPr>
      <w:r>
        <w:t>No consent, approval, authorization, order, filing, registration or qualification of or with any court, governmental authority or third person is required to be obtained by the Investor in connection with the execution and delivery of the Agreements by the Investor or the performance of the Investor’s obligations hereunder or thereunder.</w:t>
      </w:r>
    </w:p>
    <w:p w:rsidR="00386AF2" w:rsidRDefault="00386AF2" w:rsidP="007C4AD4">
      <w:pPr>
        <w:jc w:val="both"/>
      </w:pPr>
      <w:bookmarkStart w:id="48" w:name="_Toc141017675"/>
      <w:bookmarkStart w:id="49" w:name="_Ref141018680"/>
      <w:r w:rsidRPr="007A23AA">
        <w:rPr>
          <w:i/>
        </w:rPr>
        <w:t>Brokers or Finders</w:t>
      </w:r>
      <w:bookmarkEnd w:id="48"/>
      <w:bookmarkEnd w:id="49"/>
      <w:r>
        <w:t>.  Such Investor has not engaged any brokers, finders or agents, and neither the Company nor any other Investor has, nor will, incur, directly or indirectly, as a result of any action taken by the Investor, any liability for brokerage or finders’ fees or agents’ commissions or any similar charges in connection with the Agreements.</w:t>
      </w:r>
    </w:p>
    <w:p w:rsidR="00386AF2" w:rsidRDefault="00386AF2" w:rsidP="007C4AD4">
      <w:pPr>
        <w:jc w:val="both"/>
      </w:pPr>
      <w:bookmarkStart w:id="50" w:name="_Toc141017676"/>
      <w:r w:rsidRPr="007A23AA">
        <w:rPr>
          <w:i/>
        </w:rPr>
        <w:t>Tax Advisors</w:t>
      </w:r>
      <w:bookmarkEnd w:id="50"/>
      <w:r>
        <w:t>.  Such Investor has reviewed with its own tax advisors the U.S. federal, state, local and foreign tax consequences of this investment and the transactions contemplated by the Agreements.</w:t>
      </w:r>
      <w:r w:rsidR="00FB591B">
        <w:t xml:space="preserve"> </w:t>
      </w:r>
      <w:r>
        <w:t>With respect to such matters, such Investor relies solely on such advisors and not on any statements or representations of the Company or any of its agents, written or oral.</w:t>
      </w:r>
      <w:r w:rsidR="00FB591B">
        <w:t xml:space="preserve"> </w:t>
      </w:r>
      <w:r>
        <w:t>The Investor understands that it (and not the Company) shall be responsible for its own tax liability that may arise as a result of this investment or the transactions contemplated by the Agreements.</w:t>
      </w:r>
    </w:p>
    <w:p w:rsidR="00386AF2" w:rsidRDefault="00386AF2" w:rsidP="007C4AD4">
      <w:pPr>
        <w:jc w:val="both"/>
      </w:pPr>
      <w:bookmarkStart w:id="51" w:name="_Toc141017677"/>
      <w:r w:rsidRPr="007A23AA">
        <w:rPr>
          <w:i/>
        </w:rPr>
        <w:lastRenderedPageBreak/>
        <w:t>Legends</w:t>
      </w:r>
      <w:bookmarkEnd w:id="51"/>
      <w:r>
        <w:t xml:space="preserve">.  </w:t>
      </w:r>
      <w:r w:rsidR="00B80777">
        <w:t>Such Investor understands and agrees that any notice of issuance referencing the Shares, or certificate evidencing the Shares or the Conversion Shares, or any other securities issued in respect of the Shares or the Conversion Shares upon any stock split, stock dividend, recapitalization, merger, consolidation or similar event, shall bear the following legend (in addition to any legend required by the Rights Agreement or under applicable state securities laws)</w:t>
      </w:r>
      <w:r>
        <w:t>:</w:t>
      </w:r>
    </w:p>
    <w:p w:rsidR="00386AF2" w:rsidRDefault="00386AF2" w:rsidP="007C4AD4">
      <w:pPr>
        <w:ind w:left="1440" w:right="1080" w:firstLine="0"/>
        <w:jc w:val="both"/>
      </w:pPr>
      <w:r>
        <w:t xml:space="preserve">“THE SHARES </w:t>
      </w:r>
      <w:r w:rsidR="000E6901">
        <w:t xml:space="preserve">REFERENCED HEREIN OR </w:t>
      </w:r>
      <w:r>
        <w:t xml:space="preserve">REPRESENTED </w:t>
      </w:r>
      <w:r w:rsidR="000E6901">
        <w:t>HEREBY</w:t>
      </w:r>
      <w:r>
        <w:t xml:space="preserve"> HAVE NOT BEEN REGISTERED UNDER THE SECURITIES ACT OF 1933, AS AMENDED, OR THE SECURITIES LAWS OF ANY STATE, AND MAY NOT BE SOLD, TRANSFERRED, ASSIGNED, PLEDGED OR HYPOTHECATED UNLESS AND UNTIL REGISTERED UNDER SUCH ACT AND/OR APPLICABLE STATE SECURITIES LAWS, OR UNLESS THE COMPANY HAS RECEIVED AN OPINION OF COUNSEL OR OTHER EVIDENCE, REASONABLY SATISFACTORY TO THE COMPANY AND ITS COUNSEL, THAT SUCH REGISTRATION IS NOT REQUIRED.”</w:t>
      </w:r>
    </w:p>
    <w:p w:rsidR="00386AF2" w:rsidRPr="009C739C" w:rsidRDefault="00386AF2" w:rsidP="00E63A79">
      <w:pPr>
        <w:pStyle w:val="Heading1"/>
        <w:rPr>
          <w:b/>
        </w:rPr>
      </w:pPr>
      <w:r w:rsidRPr="009C739C">
        <w:br/>
      </w:r>
      <w:bookmarkStart w:id="52" w:name="_Toc141017680"/>
      <w:r w:rsidRPr="009C739C">
        <w:rPr>
          <w:b/>
        </w:rPr>
        <w:t>Conditions to Investors’ Obligations to Close</w:t>
      </w:r>
      <w:bookmarkEnd w:id="52"/>
    </w:p>
    <w:p w:rsidR="00386AF2" w:rsidRDefault="00386AF2" w:rsidP="007C4AD4">
      <w:pPr>
        <w:spacing w:before="0"/>
        <w:jc w:val="both"/>
      </w:pPr>
      <w:r>
        <w:t>Each Investor’s obligation to purchase the Shares at a Closing is subject to the fulfillment on or before the Closing of each of the follo</w:t>
      </w:r>
      <w:r w:rsidR="00416F12">
        <w:t>wing conditions, unless waived in writing</w:t>
      </w:r>
      <w:r>
        <w:t xml:space="preserve"> by the applicable Investor purchasing the Shares in such Closing:</w:t>
      </w:r>
    </w:p>
    <w:p w:rsidR="00386AF2" w:rsidRDefault="00386AF2" w:rsidP="007C4AD4">
      <w:pPr>
        <w:jc w:val="both"/>
      </w:pPr>
      <w:bookmarkStart w:id="53" w:name="_Toc141017681"/>
      <w:r w:rsidRPr="006D4DD3">
        <w:rPr>
          <w:i/>
        </w:rPr>
        <w:t>Representations and Warranties</w:t>
      </w:r>
      <w:bookmarkEnd w:id="53"/>
      <w:r>
        <w:t>.  The representations and warranties made by the Company in</w:t>
      </w:r>
      <w:r w:rsidR="00416F12">
        <w:t xml:space="preserve"> Section 3</w:t>
      </w:r>
      <w:r>
        <w:t xml:space="preserve"> (as modified by the disclosures on the Schedule of Exceptions) shall be true and correct </w:t>
      </w:r>
      <w:r w:rsidR="00416F12">
        <w:t xml:space="preserve">in all material respects </w:t>
      </w:r>
      <w:r>
        <w:t>as of the date of such Closing</w:t>
      </w:r>
      <w:r w:rsidR="00416F12">
        <w:t>.</w:t>
      </w:r>
    </w:p>
    <w:p w:rsidR="00386AF2" w:rsidRDefault="00386AF2" w:rsidP="007C4AD4">
      <w:pPr>
        <w:jc w:val="both"/>
      </w:pPr>
      <w:bookmarkStart w:id="54" w:name="_Toc141017682"/>
      <w:r w:rsidRPr="006D4DD3">
        <w:rPr>
          <w:i/>
        </w:rPr>
        <w:t>Covenants</w:t>
      </w:r>
      <w:bookmarkEnd w:id="54"/>
      <w:r>
        <w:t>.  All covenants, agreements and conditions contained in this Agreement to be performed by the Company on or prior to the Closing shall have been performed or complied with</w:t>
      </w:r>
      <w:r w:rsidR="00416F12">
        <w:t xml:space="preserve"> in all material respects</w:t>
      </w:r>
      <w:r>
        <w:t>.</w:t>
      </w:r>
    </w:p>
    <w:p w:rsidR="00386AF2" w:rsidRDefault="00386AF2" w:rsidP="007C4AD4">
      <w:pPr>
        <w:jc w:val="both"/>
      </w:pPr>
      <w:bookmarkStart w:id="55" w:name="_Toc141017683"/>
      <w:r w:rsidRPr="006D4DD3">
        <w:rPr>
          <w:i/>
        </w:rPr>
        <w:t>Blue Sky</w:t>
      </w:r>
      <w:bookmarkEnd w:id="55"/>
      <w:r>
        <w:t>.  The Company shall have obtained all necessary Blue Sky law permits and qualifications, or have the availability of exemptions therefrom, required by any state for the offer and sale of the Shares</w:t>
      </w:r>
      <w:r w:rsidR="00416F12">
        <w:t xml:space="preserve"> </w:t>
      </w:r>
      <w:r>
        <w:t>and the Conversion Shares.</w:t>
      </w:r>
    </w:p>
    <w:p w:rsidR="00386AF2" w:rsidRDefault="00386AF2" w:rsidP="007C4AD4">
      <w:pPr>
        <w:jc w:val="both"/>
      </w:pPr>
      <w:bookmarkStart w:id="56" w:name="_Toc141017684"/>
      <w:r w:rsidRPr="006D4DD3">
        <w:rPr>
          <w:i/>
        </w:rPr>
        <w:t>Restated</w:t>
      </w:r>
      <w:r w:rsidR="00416F12">
        <w:rPr>
          <w:i/>
        </w:rPr>
        <w:t xml:space="preserve"> </w:t>
      </w:r>
      <w:r w:rsidRPr="006D4DD3">
        <w:rPr>
          <w:i/>
        </w:rPr>
        <w:t>Certificate</w:t>
      </w:r>
      <w:bookmarkEnd w:id="56"/>
      <w:r>
        <w:t xml:space="preserve">.  The Restated </w:t>
      </w:r>
      <w:r w:rsidR="00416F12">
        <w:t>Certificate</w:t>
      </w:r>
      <w:r>
        <w:t xml:space="preserve"> shall have been duly authorized, executed and filed with and accepted by the Secretary of State of the State of </w:t>
      </w:r>
      <w:r w:rsidR="00416F12">
        <w:t>Delaware</w:t>
      </w:r>
      <w:r>
        <w:t>.</w:t>
      </w:r>
    </w:p>
    <w:p w:rsidR="00386AF2" w:rsidRDefault="00386AF2" w:rsidP="007C4AD4">
      <w:pPr>
        <w:jc w:val="both"/>
      </w:pPr>
      <w:bookmarkStart w:id="57" w:name="_Toc141017685"/>
      <w:r w:rsidRPr="006D4DD3">
        <w:rPr>
          <w:i/>
        </w:rPr>
        <w:t>Rights Agreement</w:t>
      </w:r>
      <w:bookmarkEnd w:id="57"/>
      <w:r>
        <w:t>.  The Company</w:t>
      </w:r>
      <w:r w:rsidR="00416F12">
        <w:t xml:space="preserve"> and the Investors</w:t>
      </w:r>
      <w:r>
        <w:t xml:space="preserve"> shall have executed and delivered the Rights Agreement.</w:t>
      </w:r>
      <w:bookmarkStart w:id="58" w:name="_Toc141017691"/>
      <w:r w:rsidR="00416F12">
        <w:t xml:space="preserve"> </w:t>
      </w:r>
      <w:bookmarkEnd w:id="58"/>
    </w:p>
    <w:p w:rsidR="00386AF2" w:rsidRPr="009C739C" w:rsidRDefault="00386AF2" w:rsidP="00220CE8">
      <w:pPr>
        <w:pStyle w:val="Heading1"/>
        <w:spacing w:before="0"/>
        <w:rPr>
          <w:b/>
        </w:rPr>
      </w:pPr>
      <w:r w:rsidRPr="009C739C">
        <w:lastRenderedPageBreak/>
        <w:br/>
      </w:r>
      <w:bookmarkStart w:id="59" w:name="_Toc141017693"/>
      <w:r w:rsidRPr="009C739C">
        <w:rPr>
          <w:b/>
        </w:rPr>
        <w:t>Conditions to Company’s Obligation to Close</w:t>
      </w:r>
      <w:bookmarkEnd w:id="59"/>
    </w:p>
    <w:p w:rsidR="00386AF2" w:rsidRDefault="00386AF2" w:rsidP="007C4AD4">
      <w:pPr>
        <w:spacing w:before="0"/>
        <w:jc w:val="both"/>
      </w:pPr>
      <w:r>
        <w:t>The Company’s obligation to sell and issue the Shares at each Closing is subject to the fulfillment on or before such Closing of the follo</w:t>
      </w:r>
      <w:r w:rsidR="00416F12">
        <w:t>wing conditions, unless waived in writing</w:t>
      </w:r>
      <w:r>
        <w:t xml:space="preserve"> by the Company:</w:t>
      </w:r>
    </w:p>
    <w:p w:rsidR="00386AF2" w:rsidRDefault="00386AF2" w:rsidP="007C4AD4">
      <w:pPr>
        <w:jc w:val="both"/>
      </w:pPr>
      <w:bookmarkStart w:id="60" w:name="_Toc141017694"/>
      <w:r w:rsidRPr="00B02DFA">
        <w:rPr>
          <w:i/>
        </w:rPr>
        <w:t>Representations and Warranties</w:t>
      </w:r>
      <w:bookmarkEnd w:id="60"/>
      <w:r>
        <w:t>.  The representations and warranties made by the Investors in such Closing in</w:t>
      </w:r>
      <w:r w:rsidR="00416F12">
        <w:t xml:space="preserve"> Section 4</w:t>
      </w:r>
      <w:r>
        <w:t xml:space="preserve"> shall be true and correct when made and shall be true and correct </w:t>
      </w:r>
      <w:r w:rsidR="00416F12">
        <w:t xml:space="preserve">in all material respects </w:t>
      </w:r>
      <w:r>
        <w:t>as of the date of such Closing.</w:t>
      </w:r>
    </w:p>
    <w:p w:rsidR="00386AF2" w:rsidRDefault="00386AF2" w:rsidP="007C4AD4">
      <w:pPr>
        <w:jc w:val="both"/>
      </w:pPr>
      <w:bookmarkStart w:id="61" w:name="_Toc141017695"/>
      <w:r w:rsidRPr="00B02DFA">
        <w:rPr>
          <w:i/>
        </w:rPr>
        <w:t>Covenants</w:t>
      </w:r>
      <w:bookmarkEnd w:id="61"/>
      <w:r>
        <w:t>.  All covenants, agreements and conditions contained in the Agreements to be performed by Investors on or prior to the date of such Closing shall have b</w:t>
      </w:r>
      <w:r w:rsidR="00416F12">
        <w:t>een performed or complied with in all material respects</w:t>
      </w:r>
      <w:r>
        <w:t xml:space="preserve"> as of the date of such Closing.</w:t>
      </w:r>
    </w:p>
    <w:p w:rsidR="00386AF2" w:rsidRDefault="00386AF2" w:rsidP="007C4AD4">
      <w:pPr>
        <w:jc w:val="both"/>
      </w:pPr>
      <w:bookmarkStart w:id="62" w:name="_Toc141017696"/>
      <w:r w:rsidRPr="00B02DFA">
        <w:rPr>
          <w:i/>
        </w:rPr>
        <w:t>Compliance with Securities Laws</w:t>
      </w:r>
      <w:bookmarkEnd w:id="62"/>
      <w:r>
        <w:t>.  The Company shall be satisfied that the offer and sale of the Shares</w:t>
      </w:r>
      <w:r w:rsidR="00416F12">
        <w:t xml:space="preserve"> </w:t>
      </w:r>
      <w:r>
        <w:t>and the Conversion Shares shall be qualified or exempt from registration or qualification under all applicable federal and state securities laws (including receipt by the Company of all necessary blue sky law permits and qualifications required by any state, if any).</w:t>
      </w:r>
    </w:p>
    <w:p w:rsidR="00386AF2" w:rsidRDefault="00386AF2" w:rsidP="007C4AD4">
      <w:pPr>
        <w:jc w:val="both"/>
      </w:pPr>
      <w:bookmarkStart w:id="63" w:name="_Toc141017697"/>
      <w:r w:rsidRPr="00B02DFA">
        <w:rPr>
          <w:i/>
        </w:rPr>
        <w:t>Restated Certificate</w:t>
      </w:r>
      <w:bookmarkEnd w:id="63"/>
      <w:r w:rsidR="00416F12">
        <w:t>.  The Restated Certificate</w:t>
      </w:r>
      <w:r>
        <w:t xml:space="preserve"> shall have been duly authorized, executed and filed with and accepted by the Secretary of State of the State of </w:t>
      </w:r>
      <w:r w:rsidR="00416F12">
        <w:t>Delaware</w:t>
      </w:r>
      <w:r>
        <w:t>.</w:t>
      </w:r>
    </w:p>
    <w:p w:rsidR="00386AF2" w:rsidRDefault="00386AF2" w:rsidP="007C4AD4">
      <w:pPr>
        <w:jc w:val="both"/>
      </w:pPr>
      <w:bookmarkStart w:id="64" w:name="_Toc141017698"/>
      <w:r w:rsidRPr="00B02DFA">
        <w:rPr>
          <w:i/>
        </w:rPr>
        <w:t>Rights Agreement</w:t>
      </w:r>
      <w:bookmarkEnd w:id="64"/>
      <w:r>
        <w:t>.  The Company</w:t>
      </w:r>
      <w:r w:rsidR="00416F12">
        <w:t xml:space="preserve"> and the Investors</w:t>
      </w:r>
      <w:r>
        <w:t xml:space="preserve"> shall have executed and delivered the Rights Agreement</w:t>
      </w:r>
      <w:r w:rsidR="00416F12">
        <w:t>.</w:t>
      </w:r>
    </w:p>
    <w:p w:rsidR="00386AF2" w:rsidRPr="009C739C" w:rsidRDefault="00386AF2" w:rsidP="00E63A79">
      <w:pPr>
        <w:pStyle w:val="Heading1"/>
        <w:rPr>
          <w:b/>
        </w:rPr>
      </w:pPr>
      <w:r w:rsidRPr="009C739C">
        <w:br/>
      </w:r>
      <w:bookmarkStart w:id="65" w:name="_Toc141017704"/>
      <w:r w:rsidRPr="009C739C">
        <w:rPr>
          <w:b/>
        </w:rPr>
        <w:t>Miscellaneous</w:t>
      </w:r>
      <w:bookmarkEnd w:id="65"/>
    </w:p>
    <w:p w:rsidR="00386AF2" w:rsidRDefault="00386AF2" w:rsidP="007C4AD4">
      <w:pPr>
        <w:jc w:val="both"/>
      </w:pPr>
      <w:bookmarkStart w:id="66" w:name="_Toc141017705"/>
      <w:r w:rsidRPr="00B02DFA">
        <w:rPr>
          <w:i/>
        </w:rPr>
        <w:t>Amendment</w:t>
      </w:r>
      <w:bookmarkEnd w:id="66"/>
      <w:r>
        <w:t xml:space="preserve">.  Except as expressly provided herein, neither this Agreement nor any term hereof may be amended, waived, discharged or terminated other than by a written instrument referencing this Agreement and signed by the Company and the Investors holding a majority of the Common Stock issued or issuable upon conversion of the Shares issued pursuant to this Agreement (excluding any of such shares that have been sold to the public or pursuant to Rule 144); </w:t>
      </w:r>
      <w:r w:rsidRPr="008925A6">
        <w:rPr>
          <w:i/>
        </w:rPr>
        <w:t>provided, however</w:t>
      </w:r>
      <w:r>
        <w:t xml:space="preserve">, that Investors purchasing shares in a Closing after the Initial Closing may become parties to this Agreement in accordance with </w:t>
      </w:r>
      <w:r w:rsidRPr="003F2EDE">
        <w:t>Section</w:t>
      </w:r>
      <w:r w:rsidR="00416F12">
        <w:t xml:space="preserve"> 2.1</w:t>
      </w:r>
      <w:r w:rsidRPr="003F2EDE">
        <w:t> </w:t>
      </w:r>
      <w:r>
        <w:t>without any amendment of this Agreement pursuant to this paragraph or any consent or approval of any other Investor.</w:t>
      </w:r>
      <w:r w:rsidR="00FB591B">
        <w:t xml:space="preserve"> </w:t>
      </w:r>
      <w:r>
        <w:t>Any such amendment, waiver, discharge or termination effected in accordance with this paragraph shall be binding upon each holder of any securities purchased under this Agreement at the time outstanding (including securities into which such securities have been converted or exchanged or for which such securities have been exercised) and each future holder of all such securities.</w:t>
      </w:r>
      <w:r w:rsidR="00FB591B">
        <w:t xml:space="preserve"> </w:t>
      </w:r>
      <w:r>
        <w:t xml:space="preserve">Each Investor acknowledges that by the operation of this </w:t>
      </w:r>
      <w:r>
        <w:lastRenderedPageBreak/>
        <w:t>paragraph, the holders of a majority of the Common Stock issued or issuable upon conversion of the Shares issued pursuant to this Agreement (excluding any of such shares that have been sold to the public or pursuant to Rule 144) will have the right and power to diminish or eliminate all rights of such Investor under this Agreement.</w:t>
      </w:r>
    </w:p>
    <w:p w:rsidR="00386AF2" w:rsidRDefault="00386AF2" w:rsidP="007C4AD4">
      <w:pPr>
        <w:jc w:val="both"/>
      </w:pPr>
      <w:bookmarkStart w:id="67" w:name="_Toc141017706"/>
      <w:r w:rsidRPr="00B02DFA">
        <w:rPr>
          <w:i/>
        </w:rPr>
        <w:t>Notices</w:t>
      </w:r>
      <w:bookmarkEnd w:id="67"/>
      <w:r>
        <w:t>.  All notices and other communications required or permitted hereunder shall be in writing and shall be mailed by registered or ce</w:t>
      </w:r>
      <w:r w:rsidR="00416F12">
        <w:t xml:space="preserve">rtified mail, postage prepaid, </w:t>
      </w:r>
      <w:r>
        <w:t xml:space="preserve">sent </w:t>
      </w:r>
      <w:r w:rsidR="00416F12">
        <w:t>by facsimile or electronic mail</w:t>
      </w:r>
      <w:r>
        <w:t xml:space="preserve"> or otherwise delivered by hand or by messenger addressed:</w:t>
      </w:r>
    </w:p>
    <w:p w:rsidR="00386AF2" w:rsidRDefault="00386AF2" w:rsidP="007C4AD4">
      <w:pPr>
        <w:pStyle w:val="Heading3"/>
        <w:jc w:val="both"/>
      </w:pPr>
      <w:r>
        <w:t>if to an Inve</w:t>
      </w:r>
      <w:r w:rsidR="00416F12">
        <w:t>stor, at the Investor’s address</w:t>
      </w:r>
      <w:r>
        <w:t>, facsimile nu</w:t>
      </w:r>
      <w:r w:rsidR="00416F12">
        <w:t>mber or electronic mail address</w:t>
      </w:r>
      <w:r>
        <w:t xml:space="preserve"> as shown in the Company’s records, as may be updated in accordance with the provisions hereof;</w:t>
      </w:r>
    </w:p>
    <w:p w:rsidR="00386AF2" w:rsidRDefault="00386AF2" w:rsidP="007C4AD4">
      <w:pPr>
        <w:pStyle w:val="Heading3"/>
        <w:jc w:val="both"/>
      </w:pPr>
      <w:r>
        <w:t>if to any other holder of any Shares</w:t>
      </w:r>
      <w:r w:rsidR="00416F12">
        <w:t xml:space="preserve"> </w:t>
      </w:r>
      <w:r>
        <w:t>or Con</w:t>
      </w:r>
      <w:r w:rsidR="00416F12">
        <w:t>version Shares, at such address</w:t>
      </w:r>
      <w:r>
        <w:t>, facsimile nu</w:t>
      </w:r>
      <w:r w:rsidR="00416F12">
        <w:t>mber or electronic mail address</w:t>
      </w:r>
      <w:r>
        <w:t xml:space="preserve"> as shown in the Company’s records, or, until any such</w:t>
      </w:r>
      <w:r w:rsidR="00416F12">
        <w:t xml:space="preserve"> holder so furnishes an address</w:t>
      </w:r>
      <w:r>
        <w:t>, facsimile nu</w:t>
      </w:r>
      <w:r w:rsidR="00416F12">
        <w:t>mber or electronic mail address</w:t>
      </w:r>
      <w:r>
        <w:t xml:space="preserve"> to the Company, then to and at the address of the last holder of such Shares</w:t>
      </w:r>
      <w:r w:rsidR="00416F12">
        <w:t xml:space="preserve"> </w:t>
      </w:r>
      <w:r>
        <w:t>or Conversion Shares for which the Company has contact information in its records; or</w:t>
      </w:r>
    </w:p>
    <w:p w:rsidR="00386AF2" w:rsidRDefault="00386AF2" w:rsidP="007C4AD4">
      <w:pPr>
        <w:pStyle w:val="Heading3"/>
        <w:jc w:val="both"/>
      </w:pPr>
      <w:proofErr w:type="gramStart"/>
      <w:r>
        <w:t>if</w:t>
      </w:r>
      <w:proofErr w:type="gramEnd"/>
      <w:r>
        <w:t xml:space="preserve"> to the Company, one copy should be sent to [</w:t>
      </w:r>
      <w:r w:rsidRPr="008B2869">
        <w:rPr>
          <w:i/>
        </w:rPr>
        <w:t>insert Company’s address</w:t>
      </w:r>
      <w:r>
        <w:t>], [</w:t>
      </w:r>
      <w:r w:rsidRPr="008B2869">
        <w:rPr>
          <w:i/>
        </w:rPr>
        <w:t>insert facsimile numbe</w:t>
      </w:r>
      <w:r w:rsidR="0007283C">
        <w:rPr>
          <w:i/>
        </w:rPr>
        <w:t>r</w:t>
      </w:r>
      <w:r w:rsidR="009105F5">
        <w:rPr>
          <w:i/>
        </w:rPr>
        <w:t xml:space="preserve"> and email address</w:t>
      </w:r>
      <w:r>
        <w:t xml:space="preserve">], Attn: Chief Executive Officer, or at such other address as the Company shall </w:t>
      </w:r>
      <w:r w:rsidR="00416F12">
        <w:t>have furnished to the Investors</w:t>
      </w:r>
      <w:r>
        <w:t>.</w:t>
      </w:r>
    </w:p>
    <w:p w:rsidR="00386AF2" w:rsidRDefault="00386AF2" w:rsidP="007C4AD4">
      <w:pPr>
        <w:jc w:val="both"/>
      </w:pPr>
      <w:r>
        <w:t xml:space="preserve">With respect to any notice given by the Company under any provision of the Delaware General Corporation Law or the Company’s charter or bylaws, each Investor agrees that such notice may </w:t>
      </w:r>
      <w:r w:rsidR="00FE10DF">
        <w:t xml:space="preserve">be </w:t>
      </w:r>
      <w:r>
        <w:t>given by f</w:t>
      </w:r>
      <w:r w:rsidR="00416F12">
        <w:t>acsimile or by electronic mail.</w:t>
      </w:r>
    </w:p>
    <w:p w:rsidR="00386AF2" w:rsidRDefault="00386AF2" w:rsidP="007C4AD4">
      <w:pPr>
        <w:jc w:val="both"/>
      </w:pPr>
      <w:r>
        <w:t>Each such notice or other communication shall for all purposes of this Agreement be treated as effective or having been given when delivered if delivered personally, or, if sent by mail, at the earlier of its</w:t>
      </w:r>
      <w:r w:rsidR="00416F12">
        <w:t xml:space="preserve"> receipt or 72</w:t>
      </w:r>
      <w:r>
        <w:t xml:space="preserve"> hours after the same has been deposited in a regularly maintained receptacle for the deposit of the United States mail, add</w:t>
      </w:r>
      <w:r w:rsidR="00416F12">
        <w:t xml:space="preserve">ressed and mailed as aforesaid </w:t>
      </w:r>
      <w:r>
        <w:t>or, if sent by facsimile, upon confirmation of facsimile transfer or, if sent by ele</w:t>
      </w:r>
      <w:r w:rsidR="00416F12">
        <w:t>ctronic mail, upon confirmation of delivery</w:t>
      </w:r>
      <w:r>
        <w:t xml:space="preserve"> when directed to the electronic mail address set for</w:t>
      </w:r>
      <w:r w:rsidR="00416F12">
        <w:t>th on the Schedule of Investors</w:t>
      </w:r>
      <w:r>
        <w:t>.</w:t>
      </w:r>
    </w:p>
    <w:p w:rsidR="00386AF2" w:rsidRDefault="00386AF2" w:rsidP="007C4AD4">
      <w:pPr>
        <w:jc w:val="both"/>
      </w:pPr>
      <w:bookmarkStart w:id="68" w:name="_Toc141017707"/>
      <w:r w:rsidRPr="00B02DFA">
        <w:rPr>
          <w:i/>
        </w:rPr>
        <w:t>Governing Law</w:t>
      </w:r>
      <w:bookmarkEnd w:id="68"/>
      <w:r>
        <w:t>.  This Agreement shall be governed in all respects by the internal laws of the State of [</w:t>
      </w:r>
      <w:r w:rsidR="00416F12">
        <w:t>__________</w:t>
      </w:r>
      <w:r>
        <w:t>]</w:t>
      </w:r>
      <w:r w:rsidR="00416F12">
        <w:t>.</w:t>
      </w:r>
    </w:p>
    <w:p w:rsidR="00386AF2" w:rsidRDefault="00386AF2" w:rsidP="007C4AD4">
      <w:pPr>
        <w:jc w:val="both"/>
      </w:pPr>
      <w:bookmarkStart w:id="69" w:name="_Toc141017709"/>
      <w:r w:rsidRPr="00B02DFA">
        <w:rPr>
          <w:i/>
        </w:rPr>
        <w:t>Expenses</w:t>
      </w:r>
      <w:bookmarkEnd w:id="69"/>
      <w:r>
        <w:t>.  The Company and the Investors shall each pay their own expenses in connection with the transactions contemplated by this Agreement</w:t>
      </w:r>
      <w:r w:rsidR="00416F12">
        <w:t>.</w:t>
      </w:r>
    </w:p>
    <w:p w:rsidR="00386AF2" w:rsidRDefault="00386AF2" w:rsidP="007C4AD4">
      <w:pPr>
        <w:jc w:val="both"/>
      </w:pPr>
      <w:bookmarkStart w:id="70" w:name="_Toc141017711"/>
      <w:r w:rsidRPr="00B02DFA">
        <w:rPr>
          <w:i/>
        </w:rPr>
        <w:t>Successors and Assigns</w:t>
      </w:r>
      <w:bookmarkEnd w:id="70"/>
      <w:r>
        <w:t>.  This Agreement, and any and all rights, duties and obligations hereunder, shall not be assigned, transferred, delegated or sublicensed by any Investor without the prior written consent of the Company.</w:t>
      </w:r>
      <w:r w:rsidR="00FB591B">
        <w:t xml:space="preserve"> </w:t>
      </w:r>
      <w:r>
        <w:t>Any attempt by an Investor without such permission to assign, transfer, delegate or sublicense any rights, duties or obligations that arise under this Agreement shall be void.</w:t>
      </w:r>
      <w:r w:rsidR="00FB591B">
        <w:t xml:space="preserve"> </w:t>
      </w:r>
      <w:r>
        <w:t xml:space="preserve">Subject to the foregoing and except as otherwise provided herein, the provisions of this </w:t>
      </w:r>
      <w:r>
        <w:lastRenderedPageBreak/>
        <w:t>Agreement shall inure to the benefit of, and be binding upon, the successors, assigns, heirs, executors and administrators of the parties hereto.</w:t>
      </w:r>
    </w:p>
    <w:p w:rsidR="00386AF2" w:rsidRDefault="00386AF2" w:rsidP="007C4AD4">
      <w:pPr>
        <w:jc w:val="both"/>
      </w:pPr>
      <w:bookmarkStart w:id="71" w:name="_Toc141017712"/>
      <w:r w:rsidRPr="00B02DFA">
        <w:rPr>
          <w:i/>
        </w:rPr>
        <w:t>Entire Agreement</w:t>
      </w:r>
      <w:bookmarkEnd w:id="71"/>
      <w:r>
        <w:t>.  This Agreement, including the exhibits attached hereto, constitute the full and entire understanding and agreement among the parties with regard to the subjects hereof and thereof.</w:t>
      </w:r>
      <w:r w:rsidR="00FB591B">
        <w:t xml:space="preserve"> </w:t>
      </w:r>
      <w:r>
        <w:t>No party shall be liable or bound to any other party in any manner with regard to the subjects hereof or thereof by any warranties, representations or covenants except as specifically set forth herein or therein.</w:t>
      </w:r>
    </w:p>
    <w:p w:rsidR="00386AF2" w:rsidRDefault="00386AF2" w:rsidP="007C4AD4">
      <w:pPr>
        <w:jc w:val="both"/>
      </w:pPr>
      <w:bookmarkStart w:id="72" w:name="_Toc141017713"/>
      <w:r w:rsidRPr="00B02DFA">
        <w:rPr>
          <w:i/>
        </w:rPr>
        <w:t>Delays or Omissions</w:t>
      </w:r>
      <w:bookmarkEnd w:id="72"/>
      <w:r>
        <w:t>.  Except as expressly provided herein, no delay or omission to exercise any right, power or remedy accruing to any party to this Agreement upon any breach or default of any other party under this Agreement shall impair any such right, power or remedy of such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w:t>
      </w:r>
      <w:r w:rsidR="00FB591B">
        <w:t xml:space="preserve"> </w:t>
      </w:r>
      <w:r>
        <w:t>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w:t>
      </w:r>
      <w:r w:rsidR="00FB591B">
        <w:t xml:space="preserve"> </w:t>
      </w:r>
      <w:r>
        <w:t>All remedies, either under this Agreement or by law or otherwise afforded to any party to this Agreement, shall be cumulative and not alternative.</w:t>
      </w:r>
    </w:p>
    <w:p w:rsidR="00386AF2" w:rsidRDefault="00386AF2" w:rsidP="007C4AD4">
      <w:pPr>
        <w:jc w:val="both"/>
      </w:pPr>
      <w:bookmarkStart w:id="73" w:name="_Toc141017715"/>
      <w:r w:rsidRPr="00BB30C2">
        <w:rPr>
          <w:i/>
        </w:rPr>
        <w:t>Severability</w:t>
      </w:r>
      <w:bookmarkEnd w:id="73"/>
      <w:r>
        <w:t>.  If any provision of this Agreement becomes or is declared by a court of competent jurisdiction to be illegal, unenforceable or void, portions of such provision, or such provision in its entirety, to the extent necessary, shall be severed from this Agreement, and such court will replace such illegal, void or unenforceable provision of this Agreement with a valid and enforceable provision that will achieve, to the extent possible, the same economic, business and other purposes of the illegal, void or unenforceable provision.</w:t>
      </w:r>
      <w:r w:rsidR="00FB591B">
        <w:t xml:space="preserve"> </w:t>
      </w:r>
      <w:r>
        <w:t>The balance of this Agreement shall be enforceable in accordance with its terms.</w:t>
      </w:r>
    </w:p>
    <w:p w:rsidR="00386AF2" w:rsidRDefault="00386AF2" w:rsidP="007C4AD4">
      <w:pPr>
        <w:jc w:val="both"/>
      </w:pPr>
      <w:bookmarkStart w:id="74" w:name="_Toc141017716"/>
      <w:r w:rsidRPr="00BB30C2">
        <w:rPr>
          <w:i/>
        </w:rPr>
        <w:t>Counterparts</w:t>
      </w:r>
      <w:bookmarkEnd w:id="74"/>
      <w:r>
        <w:t>.  This Agreement may be executed in any number of counterparts, each of which shall be enforceable against the parties actually executing such counterparts, and all of which together shall constitute one instrument.</w:t>
      </w:r>
    </w:p>
    <w:p w:rsidR="00386AF2" w:rsidRDefault="00386AF2" w:rsidP="007C4AD4">
      <w:pPr>
        <w:jc w:val="both"/>
      </w:pPr>
      <w:bookmarkStart w:id="75" w:name="_Toc141017717"/>
      <w:r w:rsidRPr="00BB30C2">
        <w:rPr>
          <w:i/>
        </w:rPr>
        <w:t>Telecopy Execution and Delivery</w:t>
      </w:r>
      <w:bookmarkEnd w:id="75"/>
      <w:r>
        <w:t>.  A facsimile, telecopy or other reproduction of this Agreement may be executed by one or more parties hereto and delivered by such party by facsimile or any similar electronic transmission device pursuant to which the signature of or on behalf of such party can be seen.</w:t>
      </w:r>
      <w:r w:rsidR="00FB591B">
        <w:t xml:space="preserve"> </w:t>
      </w:r>
      <w:r>
        <w:t>Such execution and delivery shall be considered valid, binding and effective for all purposes.</w:t>
      </w:r>
      <w:r w:rsidR="00FB591B">
        <w:t xml:space="preserve"> </w:t>
      </w:r>
      <w:r>
        <w:t>At the request of any party hereto, all parties hereto agree to execute and deliver an original of this Agreement as well as any facsimile, telecopy or other reproduction hereof.</w:t>
      </w:r>
    </w:p>
    <w:p w:rsidR="00386AF2" w:rsidRDefault="00386AF2">
      <w:pPr>
        <w:pStyle w:val="CenterText"/>
        <w:rPr>
          <w:i/>
        </w:rPr>
      </w:pPr>
      <w:r>
        <w:rPr>
          <w:i/>
        </w:rPr>
        <w:t>(</w:t>
      </w:r>
      <w:proofErr w:type="gramStart"/>
      <w:r w:rsidR="00A03847">
        <w:rPr>
          <w:i/>
        </w:rPr>
        <w:t>signature</w:t>
      </w:r>
      <w:proofErr w:type="gramEnd"/>
      <w:r w:rsidR="00A03847">
        <w:rPr>
          <w:i/>
        </w:rPr>
        <w:t xml:space="preserve"> page follows</w:t>
      </w:r>
      <w:r>
        <w:rPr>
          <w:i/>
        </w:rPr>
        <w:t>)</w:t>
      </w:r>
    </w:p>
    <w:p w:rsidR="00386AF2" w:rsidRDefault="00386AF2" w:rsidP="003E6A2B">
      <w:pPr>
        <w:sectPr w:rsidR="00386AF2">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728" w:right="1080" w:bottom="1440" w:left="1440" w:header="1872" w:footer="936" w:gutter="0"/>
          <w:pgNumType w:start="1"/>
          <w:cols w:space="720"/>
          <w:titlePg/>
        </w:sectPr>
      </w:pPr>
    </w:p>
    <w:p w:rsidR="00386AF2" w:rsidRDefault="00386AF2" w:rsidP="007C4AD4">
      <w:pPr>
        <w:jc w:val="both"/>
      </w:pPr>
      <w:r>
        <w:lastRenderedPageBreak/>
        <w:t>IN WITNESS WHEREOF, this Agreement is executed as of the date first written above.</w:t>
      </w:r>
    </w:p>
    <w:p w:rsidR="00386AF2" w:rsidRDefault="00386AF2" w:rsidP="00137C2E">
      <w:pPr>
        <w:pStyle w:val="SignatureLine"/>
        <w:rPr>
          <w:b/>
        </w:rPr>
      </w:pPr>
    </w:p>
    <w:p w:rsidR="00C25664" w:rsidRDefault="00C25664" w:rsidP="00C25664">
      <w:pPr>
        <w:pStyle w:val="SignatureLine"/>
        <w:keepNext/>
        <w:spacing w:before="480"/>
        <w:rPr>
          <w:b/>
          <w:szCs w:val="24"/>
        </w:rPr>
      </w:pPr>
      <w:r>
        <w:rPr>
          <w:b/>
          <w:szCs w:val="24"/>
        </w:rPr>
        <w:t>[COMPANY NAME]</w:t>
      </w:r>
    </w:p>
    <w:p w:rsidR="00C25664" w:rsidRDefault="00C25664" w:rsidP="00C25664">
      <w:pPr>
        <w:pStyle w:val="SignatureLine"/>
        <w:keepNext/>
        <w:spacing w:before="0"/>
        <w:rPr>
          <w:szCs w:val="24"/>
        </w:rPr>
      </w:pPr>
      <w:proofErr w:type="gramStart"/>
      <w:r>
        <w:rPr>
          <w:szCs w:val="24"/>
        </w:rPr>
        <w:t>a</w:t>
      </w:r>
      <w:proofErr w:type="gramEnd"/>
      <w:r>
        <w:rPr>
          <w:szCs w:val="24"/>
        </w:rPr>
        <w:t xml:space="preserve"> Delaware corporation</w:t>
      </w:r>
    </w:p>
    <w:p w:rsidR="00C25664" w:rsidRDefault="00C25664" w:rsidP="00C25664">
      <w:pPr>
        <w:pStyle w:val="SignatureLine"/>
        <w:keepNext/>
        <w:spacing w:before="720"/>
        <w:rPr>
          <w:szCs w:val="24"/>
          <w:u w:val="single"/>
        </w:rPr>
      </w:pPr>
      <w:r>
        <w:rPr>
          <w:szCs w:val="24"/>
          <w:u w:val="single"/>
        </w:rPr>
        <w:tab/>
      </w:r>
      <w:r>
        <w:rPr>
          <w:szCs w:val="24"/>
          <w:u w:val="single"/>
        </w:rPr>
        <w:tab/>
      </w:r>
    </w:p>
    <w:p w:rsidR="00C25664" w:rsidRPr="004E763D" w:rsidRDefault="00C25664" w:rsidP="00C25664">
      <w:pPr>
        <w:pStyle w:val="SignatureLine"/>
        <w:keepNext/>
        <w:spacing w:before="0"/>
        <w:jc w:val="center"/>
        <w:rPr>
          <w:szCs w:val="24"/>
        </w:rPr>
      </w:pPr>
      <w:r>
        <w:rPr>
          <w:szCs w:val="24"/>
        </w:rPr>
        <w:t>(Signature)</w:t>
      </w:r>
    </w:p>
    <w:p w:rsidR="00C25664" w:rsidRDefault="00C25664" w:rsidP="00C25664">
      <w:pPr>
        <w:pStyle w:val="SignatureLine"/>
        <w:keepNext/>
        <w:spacing w:before="0"/>
        <w:rPr>
          <w:szCs w:val="24"/>
        </w:rPr>
      </w:pPr>
    </w:p>
    <w:p w:rsidR="00C25664" w:rsidRDefault="00C25664" w:rsidP="00C25664">
      <w:pPr>
        <w:pStyle w:val="SignatureLine"/>
        <w:keepNext/>
        <w:spacing w:before="0"/>
        <w:rPr>
          <w:szCs w:val="24"/>
        </w:rPr>
      </w:pPr>
      <w:r>
        <w:rPr>
          <w:szCs w:val="24"/>
          <w:u w:val="single"/>
        </w:rPr>
        <w:tab/>
      </w:r>
      <w:r>
        <w:rPr>
          <w:szCs w:val="24"/>
          <w:u w:val="single"/>
        </w:rPr>
        <w:tab/>
      </w:r>
    </w:p>
    <w:p w:rsidR="00C25664" w:rsidRDefault="00C25664" w:rsidP="00C25664">
      <w:pPr>
        <w:pStyle w:val="SignatureLine"/>
        <w:keepNext/>
        <w:spacing w:before="0"/>
        <w:jc w:val="center"/>
        <w:rPr>
          <w:szCs w:val="24"/>
        </w:rPr>
      </w:pPr>
      <w:r>
        <w:rPr>
          <w:szCs w:val="24"/>
        </w:rPr>
        <w:t>(Name and Title of Signatory)</w:t>
      </w:r>
    </w:p>
    <w:p w:rsidR="00C25664" w:rsidRDefault="00C25664" w:rsidP="00C25664">
      <w:pPr>
        <w:pStyle w:val="SignatureLine"/>
        <w:keepNext/>
        <w:spacing w:before="480"/>
        <w:rPr>
          <w:b/>
          <w:szCs w:val="24"/>
        </w:rPr>
      </w:pPr>
    </w:p>
    <w:p w:rsidR="00C25664" w:rsidRDefault="00C25664" w:rsidP="00C25664">
      <w:pPr>
        <w:pStyle w:val="SignatureLine"/>
        <w:keepNext/>
        <w:spacing w:before="480"/>
        <w:rPr>
          <w:b/>
          <w:szCs w:val="24"/>
        </w:rPr>
      </w:pPr>
      <w:r>
        <w:rPr>
          <w:b/>
          <w:szCs w:val="24"/>
        </w:rPr>
        <w:t>[INVESTOR NAME]</w:t>
      </w:r>
    </w:p>
    <w:p w:rsidR="00C25664" w:rsidRDefault="00C25664" w:rsidP="00C25664">
      <w:pPr>
        <w:spacing w:before="0"/>
        <w:ind w:firstLine="0"/>
        <w:rPr>
          <w:b/>
          <w:szCs w:val="24"/>
        </w:rPr>
      </w:pPr>
    </w:p>
    <w:p w:rsidR="00C25664" w:rsidRDefault="00C25664" w:rsidP="00C25664">
      <w:pPr>
        <w:tabs>
          <w:tab w:val="left" w:pos="5040"/>
        </w:tabs>
        <w:spacing w:before="0"/>
        <w:ind w:firstLine="0"/>
        <w:rPr>
          <w:b/>
          <w:szCs w:val="24"/>
        </w:rPr>
      </w:pPr>
    </w:p>
    <w:p w:rsidR="00C25664" w:rsidRDefault="00C25664" w:rsidP="00C25664">
      <w:pPr>
        <w:tabs>
          <w:tab w:val="left" w:pos="5040"/>
        </w:tabs>
        <w:spacing w:before="0"/>
        <w:ind w:firstLine="0"/>
        <w:rPr>
          <w:b/>
          <w:szCs w:val="24"/>
        </w:rPr>
      </w:pPr>
    </w:p>
    <w:p w:rsidR="00C25664" w:rsidRDefault="00C25664" w:rsidP="00C25664">
      <w:pPr>
        <w:tabs>
          <w:tab w:val="left" w:pos="5040"/>
          <w:tab w:val="left" w:pos="9720"/>
        </w:tabs>
        <w:spacing w:before="0"/>
        <w:ind w:firstLine="0"/>
        <w:rPr>
          <w:szCs w:val="24"/>
          <w:u w:val="single"/>
        </w:rPr>
      </w:pPr>
      <w:r>
        <w:rPr>
          <w:b/>
          <w:szCs w:val="24"/>
        </w:rPr>
        <w:tab/>
      </w:r>
      <w:r>
        <w:rPr>
          <w:szCs w:val="24"/>
          <w:u w:val="single"/>
        </w:rPr>
        <w:tab/>
      </w:r>
    </w:p>
    <w:p w:rsidR="00C25664" w:rsidRDefault="00C25664" w:rsidP="00C25664">
      <w:pPr>
        <w:tabs>
          <w:tab w:val="left" w:pos="5040"/>
          <w:tab w:val="center" w:pos="7380"/>
          <w:tab w:val="left" w:pos="9720"/>
        </w:tabs>
        <w:spacing w:before="0"/>
        <w:ind w:firstLine="0"/>
        <w:rPr>
          <w:szCs w:val="24"/>
        </w:rPr>
      </w:pPr>
      <w:r>
        <w:rPr>
          <w:b/>
          <w:szCs w:val="24"/>
        </w:rPr>
        <w:tab/>
      </w:r>
      <w:r>
        <w:rPr>
          <w:b/>
          <w:szCs w:val="24"/>
        </w:rPr>
        <w:tab/>
      </w:r>
      <w:r>
        <w:rPr>
          <w:szCs w:val="24"/>
        </w:rPr>
        <w:t>(Signature)</w:t>
      </w:r>
    </w:p>
    <w:p w:rsidR="00C25664" w:rsidRDefault="00C25664" w:rsidP="00C25664">
      <w:pPr>
        <w:tabs>
          <w:tab w:val="left" w:pos="5040"/>
          <w:tab w:val="left" w:pos="9720"/>
        </w:tabs>
        <w:spacing w:before="0"/>
        <w:ind w:firstLine="0"/>
        <w:rPr>
          <w:b/>
          <w:szCs w:val="24"/>
          <w:u w:val="single"/>
        </w:rPr>
      </w:pPr>
    </w:p>
    <w:p w:rsidR="00C25664" w:rsidRDefault="00C25664" w:rsidP="00C25664">
      <w:pPr>
        <w:tabs>
          <w:tab w:val="left" w:pos="5040"/>
          <w:tab w:val="left" w:pos="9720"/>
        </w:tabs>
        <w:spacing w:before="0"/>
        <w:ind w:firstLine="0"/>
        <w:rPr>
          <w:szCs w:val="24"/>
          <w:u w:val="single"/>
        </w:rPr>
      </w:pPr>
      <w:r>
        <w:rPr>
          <w:b/>
          <w:szCs w:val="24"/>
        </w:rPr>
        <w:tab/>
      </w:r>
      <w:r>
        <w:rPr>
          <w:szCs w:val="24"/>
          <w:u w:val="single"/>
        </w:rPr>
        <w:tab/>
      </w:r>
    </w:p>
    <w:p w:rsidR="00386AF2" w:rsidRDefault="00C25664" w:rsidP="00C25664">
      <w:pPr>
        <w:spacing w:before="0"/>
      </w:pPr>
      <w:r>
        <w:rPr>
          <w:szCs w:val="24"/>
        </w:rPr>
        <w:tab/>
      </w:r>
      <w:r>
        <w:rPr>
          <w:szCs w:val="24"/>
        </w:rPr>
        <w:tab/>
      </w:r>
      <w:r>
        <w:rPr>
          <w:szCs w:val="24"/>
        </w:rPr>
        <w:tab/>
      </w:r>
      <w:r>
        <w:rPr>
          <w:szCs w:val="24"/>
        </w:rPr>
        <w:tab/>
      </w:r>
      <w:r>
        <w:rPr>
          <w:szCs w:val="24"/>
        </w:rPr>
        <w:tab/>
      </w:r>
      <w:r>
        <w:rPr>
          <w:szCs w:val="24"/>
        </w:rPr>
        <w:tab/>
        <w:t>(Name and Title of Signatory, if applicable)</w:t>
      </w:r>
    </w:p>
    <w:p w:rsidR="00386AF2" w:rsidRDefault="00386AF2" w:rsidP="003E6A2B">
      <w:pPr>
        <w:sectPr w:rsidR="00386AF2">
          <w:footerReference w:type="first" r:id="rId14"/>
          <w:endnotePr>
            <w:numFmt w:val="decimal"/>
          </w:endnotePr>
          <w:pgSz w:w="12240" w:h="15840" w:code="1"/>
          <w:pgMar w:top="1728" w:right="1080" w:bottom="1440" w:left="1440" w:header="1872" w:footer="936" w:gutter="0"/>
          <w:pgNumType w:start="1"/>
          <w:cols w:space="720"/>
          <w:titlePg/>
        </w:sectPr>
      </w:pPr>
    </w:p>
    <w:p w:rsidR="00386AF2" w:rsidRPr="008925A6" w:rsidRDefault="00386AF2" w:rsidP="00DB4068">
      <w:pPr>
        <w:pStyle w:val="CenterTextBoldUnd"/>
        <w:spacing w:before="0"/>
        <w:rPr>
          <w:u w:val="none"/>
        </w:rPr>
      </w:pPr>
      <w:r w:rsidRPr="008925A6">
        <w:rPr>
          <w:u w:val="none"/>
        </w:rPr>
        <w:lastRenderedPageBreak/>
        <w:t>EXHIBIT A</w:t>
      </w:r>
    </w:p>
    <w:p w:rsidR="00386AF2" w:rsidRDefault="00386AF2" w:rsidP="00625885">
      <w:pPr>
        <w:pStyle w:val="CenterTextBold"/>
      </w:pPr>
      <w:r>
        <w:t>SCHEDULE OF INVESTORS</w:t>
      </w:r>
    </w:p>
    <w:p w:rsidR="00386AF2" w:rsidRDefault="00386AF2" w:rsidP="00625885">
      <w:pPr>
        <w:pStyle w:val="CenterTextBoldUnd"/>
      </w:pPr>
      <w:r>
        <w:t>Initial Closing Investors</w:t>
      </w:r>
    </w:p>
    <w:p w:rsidR="00386AF2" w:rsidRPr="00C01218" w:rsidRDefault="00386AF2" w:rsidP="00C01218">
      <w:pPr>
        <w:spacing w:before="0"/>
      </w:pPr>
    </w:p>
    <w:tbl>
      <w:tblPr>
        <w:tblW w:w="0" w:type="auto"/>
        <w:tblLayout w:type="fixed"/>
        <w:tblLook w:val="01E0" w:firstRow="1" w:lastRow="1" w:firstColumn="1" w:lastColumn="1" w:noHBand="0" w:noVBand="0"/>
      </w:tblPr>
      <w:tblGrid>
        <w:gridCol w:w="5508"/>
        <w:gridCol w:w="1440"/>
        <w:gridCol w:w="1440"/>
      </w:tblGrid>
      <w:tr w:rsidR="00416F12" w:rsidRPr="00416F12" w:rsidTr="00416F12">
        <w:trPr>
          <w:tblHeader/>
        </w:trPr>
        <w:tc>
          <w:tcPr>
            <w:tcW w:w="5508" w:type="dxa"/>
            <w:shd w:val="clear" w:color="auto" w:fill="auto"/>
            <w:vAlign w:val="bottom"/>
          </w:tcPr>
          <w:p w:rsidR="00416F12" w:rsidRPr="00416F12" w:rsidRDefault="00416F12" w:rsidP="00416F12">
            <w:pPr>
              <w:pStyle w:val="TableStyle"/>
              <w:pBdr>
                <w:bottom w:val="single" w:sz="4" w:space="1" w:color="auto"/>
              </w:pBdr>
              <w:spacing w:after="60"/>
              <w:jc w:val="center"/>
              <w:rPr>
                <w:b/>
                <w:sz w:val="20"/>
              </w:rPr>
            </w:pPr>
            <w:r w:rsidRPr="00416F12">
              <w:rPr>
                <w:b/>
                <w:sz w:val="20"/>
              </w:rPr>
              <w:t>Investor</w:t>
            </w:r>
          </w:p>
        </w:tc>
        <w:tc>
          <w:tcPr>
            <w:tcW w:w="1440" w:type="dxa"/>
            <w:shd w:val="clear" w:color="auto" w:fill="auto"/>
            <w:vAlign w:val="bottom"/>
          </w:tcPr>
          <w:p w:rsidR="00416F12" w:rsidRPr="00416F12" w:rsidRDefault="00416F12" w:rsidP="00416F12">
            <w:pPr>
              <w:pStyle w:val="TableStyle"/>
              <w:pBdr>
                <w:bottom w:val="single" w:sz="4" w:space="1" w:color="auto"/>
              </w:pBdr>
              <w:spacing w:after="60"/>
              <w:jc w:val="center"/>
              <w:rPr>
                <w:b/>
                <w:sz w:val="20"/>
              </w:rPr>
            </w:pPr>
            <w:r w:rsidRPr="00416F12">
              <w:rPr>
                <w:b/>
                <w:sz w:val="20"/>
              </w:rPr>
              <w:t>Number of Series AA Shares</w:t>
            </w:r>
          </w:p>
        </w:tc>
        <w:tc>
          <w:tcPr>
            <w:tcW w:w="1440" w:type="dxa"/>
            <w:shd w:val="clear" w:color="auto" w:fill="auto"/>
            <w:vAlign w:val="bottom"/>
          </w:tcPr>
          <w:p w:rsidR="00416F12" w:rsidRPr="00416F12" w:rsidRDefault="00416F12" w:rsidP="00416F12">
            <w:pPr>
              <w:pStyle w:val="TableStyle"/>
              <w:pBdr>
                <w:bottom w:val="single" w:sz="4" w:space="1" w:color="auto"/>
              </w:pBdr>
              <w:spacing w:after="60"/>
              <w:jc w:val="center"/>
              <w:rPr>
                <w:b/>
                <w:sz w:val="20"/>
              </w:rPr>
            </w:pPr>
            <w:r w:rsidRPr="00416F12">
              <w:rPr>
                <w:b/>
                <w:sz w:val="20"/>
              </w:rPr>
              <w:t>Purchase Price</w:t>
            </w:r>
          </w:p>
        </w:tc>
      </w:tr>
      <w:tr w:rsidR="00416F12" w:rsidRPr="00416F12" w:rsidTr="00416F12">
        <w:tc>
          <w:tcPr>
            <w:tcW w:w="5508" w:type="dxa"/>
            <w:shd w:val="clear" w:color="auto" w:fill="auto"/>
          </w:tcPr>
          <w:p w:rsidR="00416F12" w:rsidRPr="00416F12" w:rsidRDefault="00416F12" w:rsidP="00416F12">
            <w:pPr>
              <w:pStyle w:val="TableStyle"/>
              <w:tabs>
                <w:tab w:val="right" w:leader="dot" w:pos="5292"/>
              </w:tabs>
              <w:rPr>
                <w:i/>
                <w:sz w:val="22"/>
                <w:szCs w:val="22"/>
              </w:rPr>
            </w:pPr>
            <w:r w:rsidRPr="00416F12">
              <w:rPr>
                <w:sz w:val="22"/>
                <w:szCs w:val="22"/>
              </w:rPr>
              <w:t>[</w:t>
            </w:r>
            <w:r w:rsidRPr="00416F12">
              <w:rPr>
                <w:i/>
                <w:sz w:val="22"/>
                <w:szCs w:val="22"/>
              </w:rPr>
              <w:t>name of Investor</w:t>
            </w:r>
            <w:r w:rsidRPr="00416F12">
              <w:rPr>
                <w:sz w:val="22"/>
                <w:szCs w:val="22"/>
              </w:rPr>
              <w:t>]</w:t>
            </w:r>
            <w:r w:rsidRPr="00416F12">
              <w:rPr>
                <w:i/>
                <w:sz w:val="22"/>
                <w:szCs w:val="22"/>
              </w:rPr>
              <w:tab/>
            </w:r>
          </w:p>
        </w:tc>
        <w:tc>
          <w:tcPr>
            <w:tcW w:w="1440" w:type="dxa"/>
            <w:shd w:val="clear" w:color="auto" w:fill="auto"/>
          </w:tcPr>
          <w:p w:rsidR="00416F12" w:rsidRPr="00416F12" w:rsidRDefault="00416F12" w:rsidP="00416F12">
            <w:pPr>
              <w:pStyle w:val="TableStyle"/>
              <w:tabs>
                <w:tab w:val="decimal" w:pos="972"/>
              </w:tabs>
              <w:rPr>
                <w:sz w:val="22"/>
                <w:szCs w:val="22"/>
              </w:rPr>
            </w:pPr>
            <w:r w:rsidRPr="00416F12">
              <w:rPr>
                <w:sz w:val="22"/>
                <w:szCs w:val="22"/>
              </w:rPr>
              <w:t>________</w:t>
            </w:r>
          </w:p>
        </w:tc>
        <w:tc>
          <w:tcPr>
            <w:tcW w:w="1440" w:type="dxa"/>
            <w:shd w:val="clear" w:color="auto" w:fill="auto"/>
          </w:tcPr>
          <w:p w:rsidR="00416F12" w:rsidRPr="00416F12" w:rsidRDefault="00416F12" w:rsidP="00416F12">
            <w:pPr>
              <w:pStyle w:val="TableStyle"/>
              <w:tabs>
                <w:tab w:val="left" w:pos="72"/>
                <w:tab w:val="decimal" w:pos="972"/>
              </w:tabs>
              <w:rPr>
                <w:sz w:val="22"/>
                <w:szCs w:val="22"/>
              </w:rPr>
            </w:pPr>
            <w:r w:rsidRPr="00416F12">
              <w:rPr>
                <w:sz w:val="22"/>
                <w:szCs w:val="22"/>
              </w:rPr>
              <w:tab/>
              <w:t>$________</w:t>
            </w:r>
          </w:p>
        </w:tc>
      </w:tr>
      <w:tr w:rsidR="00416F12" w:rsidRPr="00416F12" w:rsidTr="00416F12">
        <w:tc>
          <w:tcPr>
            <w:tcW w:w="5508" w:type="dxa"/>
            <w:shd w:val="clear" w:color="auto" w:fill="auto"/>
          </w:tcPr>
          <w:p w:rsidR="00416F12" w:rsidRPr="00416F12" w:rsidRDefault="00416F12" w:rsidP="00416F12">
            <w:pPr>
              <w:pStyle w:val="TableStyle"/>
              <w:tabs>
                <w:tab w:val="right" w:leader="dot" w:pos="5292"/>
              </w:tabs>
              <w:rPr>
                <w:i/>
                <w:sz w:val="22"/>
                <w:szCs w:val="22"/>
              </w:rPr>
            </w:pPr>
            <w:r w:rsidRPr="00416F12">
              <w:rPr>
                <w:sz w:val="22"/>
                <w:szCs w:val="22"/>
              </w:rPr>
              <w:t>[</w:t>
            </w:r>
            <w:r w:rsidRPr="00416F12">
              <w:rPr>
                <w:i/>
                <w:sz w:val="22"/>
                <w:szCs w:val="22"/>
              </w:rPr>
              <w:t>address</w:t>
            </w:r>
            <w:r w:rsidRPr="00416F12">
              <w:rPr>
                <w:sz w:val="22"/>
                <w:szCs w:val="22"/>
              </w:rPr>
              <w:t>]</w:t>
            </w:r>
          </w:p>
        </w:tc>
        <w:tc>
          <w:tcPr>
            <w:tcW w:w="1440" w:type="dxa"/>
            <w:shd w:val="clear" w:color="auto" w:fill="auto"/>
          </w:tcPr>
          <w:p w:rsidR="00416F12" w:rsidRPr="00416F12" w:rsidRDefault="00416F12" w:rsidP="00416F12">
            <w:pPr>
              <w:pStyle w:val="TableStyle"/>
              <w:tabs>
                <w:tab w:val="decimal" w:pos="972"/>
              </w:tabs>
              <w:rPr>
                <w:sz w:val="22"/>
                <w:szCs w:val="22"/>
              </w:rPr>
            </w:pPr>
          </w:p>
        </w:tc>
        <w:tc>
          <w:tcPr>
            <w:tcW w:w="1440" w:type="dxa"/>
            <w:shd w:val="clear" w:color="auto" w:fill="auto"/>
          </w:tcPr>
          <w:p w:rsidR="00416F12" w:rsidRPr="00416F12" w:rsidRDefault="00416F12" w:rsidP="00416F12">
            <w:pPr>
              <w:pStyle w:val="TableStyle"/>
              <w:tabs>
                <w:tab w:val="left" w:pos="72"/>
                <w:tab w:val="decimal" w:pos="972"/>
              </w:tabs>
              <w:rPr>
                <w:sz w:val="22"/>
                <w:szCs w:val="22"/>
              </w:rPr>
            </w:pPr>
          </w:p>
        </w:tc>
      </w:tr>
      <w:tr w:rsidR="00416F12" w:rsidRPr="00416F12" w:rsidTr="00416F12">
        <w:tc>
          <w:tcPr>
            <w:tcW w:w="5508" w:type="dxa"/>
            <w:shd w:val="clear" w:color="auto" w:fill="auto"/>
          </w:tcPr>
          <w:p w:rsidR="00416F12" w:rsidRPr="00416F12" w:rsidRDefault="00416F12" w:rsidP="00416F12">
            <w:pPr>
              <w:pStyle w:val="TableStyle"/>
              <w:tabs>
                <w:tab w:val="right" w:leader="dot" w:pos="5292"/>
              </w:tabs>
              <w:rPr>
                <w:i/>
                <w:sz w:val="22"/>
                <w:szCs w:val="22"/>
              </w:rPr>
            </w:pPr>
            <w:r w:rsidRPr="00416F12">
              <w:rPr>
                <w:sz w:val="22"/>
                <w:szCs w:val="22"/>
              </w:rPr>
              <w:t>[</w:t>
            </w:r>
            <w:r w:rsidRPr="00416F12">
              <w:rPr>
                <w:i/>
                <w:sz w:val="22"/>
                <w:szCs w:val="22"/>
              </w:rPr>
              <w:t>facsimile number</w:t>
            </w:r>
            <w:r w:rsidRPr="00416F12">
              <w:rPr>
                <w:sz w:val="22"/>
                <w:szCs w:val="22"/>
              </w:rPr>
              <w:t>]</w:t>
            </w:r>
          </w:p>
        </w:tc>
        <w:tc>
          <w:tcPr>
            <w:tcW w:w="1440" w:type="dxa"/>
            <w:shd w:val="clear" w:color="auto" w:fill="auto"/>
          </w:tcPr>
          <w:p w:rsidR="00416F12" w:rsidRPr="00416F12" w:rsidRDefault="00416F12" w:rsidP="00416F12">
            <w:pPr>
              <w:pStyle w:val="TableStyle"/>
              <w:tabs>
                <w:tab w:val="decimal" w:pos="972"/>
              </w:tabs>
              <w:rPr>
                <w:sz w:val="22"/>
                <w:szCs w:val="22"/>
              </w:rPr>
            </w:pPr>
          </w:p>
        </w:tc>
        <w:tc>
          <w:tcPr>
            <w:tcW w:w="1440" w:type="dxa"/>
            <w:shd w:val="clear" w:color="auto" w:fill="auto"/>
          </w:tcPr>
          <w:p w:rsidR="00416F12" w:rsidRPr="00416F12" w:rsidRDefault="00416F12" w:rsidP="00416F12">
            <w:pPr>
              <w:pStyle w:val="TableStyle"/>
              <w:tabs>
                <w:tab w:val="left" w:pos="72"/>
                <w:tab w:val="decimal" w:pos="972"/>
              </w:tabs>
              <w:rPr>
                <w:sz w:val="22"/>
                <w:szCs w:val="22"/>
              </w:rPr>
            </w:pPr>
          </w:p>
        </w:tc>
      </w:tr>
      <w:tr w:rsidR="00416F12" w:rsidRPr="00416F12" w:rsidTr="00416F12">
        <w:tc>
          <w:tcPr>
            <w:tcW w:w="5508" w:type="dxa"/>
            <w:shd w:val="clear" w:color="auto" w:fill="auto"/>
          </w:tcPr>
          <w:p w:rsidR="00416F12" w:rsidRPr="00416F12" w:rsidRDefault="00416F12" w:rsidP="00416F12">
            <w:pPr>
              <w:pStyle w:val="TableStyle"/>
              <w:tabs>
                <w:tab w:val="right" w:leader="dot" w:pos="5292"/>
              </w:tabs>
              <w:rPr>
                <w:i/>
                <w:sz w:val="22"/>
                <w:szCs w:val="22"/>
              </w:rPr>
            </w:pPr>
            <w:r w:rsidRPr="00416F12">
              <w:rPr>
                <w:sz w:val="22"/>
                <w:szCs w:val="22"/>
              </w:rPr>
              <w:t>[</w:t>
            </w:r>
            <w:r w:rsidRPr="00416F12">
              <w:rPr>
                <w:i/>
                <w:sz w:val="22"/>
                <w:szCs w:val="22"/>
              </w:rPr>
              <w:t>email address</w:t>
            </w:r>
            <w:r w:rsidRPr="00416F12">
              <w:rPr>
                <w:sz w:val="22"/>
                <w:szCs w:val="22"/>
              </w:rPr>
              <w:t>]</w:t>
            </w:r>
          </w:p>
        </w:tc>
        <w:tc>
          <w:tcPr>
            <w:tcW w:w="1440" w:type="dxa"/>
            <w:shd w:val="clear" w:color="auto" w:fill="auto"/>
          </w:tcPr>
          <w:p w:rsidR="00416F12" w:rsidRPr="00416F12" w:rsidRDefault="00416F12" w:rsidP="00416F12">
            <w:pPr>
              <w:pStyle w:val="TableStyle"/>
              <w:tabs>
                <w:tab w:val="decimal" w:pos="972"/>
              </w:tabs>
              <w:rPr>
                <w:sz w:val="22"/>
                <w:szCs w:val="22"/>
              </w:rPr>
            </w:pPr>
          </w:p>
        </w:tc>
        <w:tc>
          <w:tcPr>
            <w:tcW w:w="1440" w:type="dxa"/>
            <w:shd w:val="clear" w:color="auto" w:fill="auto"/>
          </w:tcPr>
          <w:p w:rsidR="00416F12" w:rsidRPr="00416F12" w:rsidRDefault="00416F12" w:rsidP="00416F12">
            <w:pPr>
              <w:pStyle w:val="TableStyle"/>
              <w:tabs>
                <w:tab w:val="left" w:pos="72"/>
                <w:tab w:val="decimal" w:pos="972"/>
              </w:tabs>
              <w:rPr>
                <w:sz w:val="22"/>
                <w:szCs w:val="22"/>
              </w:rPr>
            </w:pPr>
          </w:p>
        </w:tc>
      </w:tr>
    </w:tbl>
    <w:p w:rsidR="00386AF2" w:rsidRDefault="00386AF2" w:rsidP="00625885">
      <w:pPr>
        <w:ind w:firstLine="0"/>
        <w:rPr>
          <w:i/>
        </w:rPr>
      </w:pPr>
    </w:p>
    <w:p w:rsidR="00386AF2" w:rsidRPr="00C01218" w:rsidRDefault="00386AF2" w:rsidP="00625885">
      <w:pPr>
        <w:ind w:firstLine="0"/>
        <w:rPr>
          <w:i/>
        </w:rPr>
      </w:pPr>
      <w:r w:rsidRPr="008925A6">
        <w:t>[</w:t>
      </w:r>
      <w:r w:rsidRPr="00C01218">
        <w:rPr>
          <w:i/>
        </w:rPr>
        <w:t>Add Subsequent Closing(s), as appropriate</w:t>
      </w:r>
      <w:r w:rsidRPr="008925A6">
        <w:t>]</w:t>
      </w:r>
    </w:p>
    <w:p w:rsidR="00386AF2" w:rsidRDefault="00386AF2" w:rsidP="003E6A2B"/>
    <w:p w:rsidR="00386AF2" w:rsidRDefault="00386AF2" w:rsidP="003E6A2B">
      <w:pPr>
        <w:sectPr w:rsidR="00386AF2">
          <w:footerReference w:type="first" r:id="rId15"/>
          <w:endnotePr>
            <w:numFmt w:val="decimal"/>
          </w:endnotePr>
          <w:pgSz w:w="12240" w:h="15840" w:code="1"/>
          <w:pgMar w:top="1728" w:right="1080" w:bottom="1440" w:left="1440" w:header="1872" w:footer="936" w:gutter="0"/>
          <w:pgNumType w:start="1"/>
          <w:cols w:space="720"/>
          <w:titlePg/>
        </w:sectPr>
      </w:pPr>
    </w:p>
    <w:p w:rsidR="00386AF2" w:rsidRPr="008925A6" w:rsidRDefault="00386AF2" w:rsidP="00472D4A">
      <w:pPr>
        <w:pStyle w:val="CenterTextBoldUnd"/>
        <w:rPr>
          <w:u w:val="none"/>
        </w:rPr>
      </w:pPr>
      <w:r w:rsidRPr="008925A6">
        <w:rPr>
          <w:u w:val="none"/>
        </w:rPr>
        <w:lastRenderedPageBreak/>
        <w:t>EXHIBIT B</w:t>
      </w:r>
    </w:p>
    <w:p w:rsidR="00386AF2" w:rsidRDefault="00386AF2" w:rsidP="00472D4A">
      <w:pPr>
        <w:pStyle w:val="CenterTextBold"/>
      </w:pPr>
      <w:r>
        <w:t xml:space="preserve">AMENDED AND RESTATED </w:t>
      </w:r>
      <w:r>
        <w:br/>
      </w:r>
      <w:r w:rsidR="00416F12">
        <w:t>CERTIFICATE</w:t>
      </w:r>
      <w:r>
        <w:t xml:space="preserve"> OF INCORPORATION</w:t>
      </w:r>
    </w:p>
    <w:p w:rsidR="00386AF2" w:rsidRDefault="00386AF2" w:rsidP="003E6A2B"/>
    <w:p w:rsidR="00386AF2" w:rsidRDefault="00386AF2" w:rsidP="003E6A2B"/>
    <w:p w:rsidR="00386AF2" w:rsidRDefault="00386AF2" w:rsidP="003E6A2B">
      <w:pPr>
        <w:sectPr w:rsidR="00386AF2">
          <w:endnotePr>
            <w:numFmt w:val="decimal"/>
          </w:endnotePr>
          <w:pgSz w:w="12240" w:h="15840" w:code="1"/>
          <w:pgMar w:top="1728" w:right="1080" w:bottom="1440" w:left="1440" w:header="1872" w:footer="936" w:gutter="0"/>
          <w:pgNumType w:start="1"/>
          <w:cols w:space="720"/>
          <w:titlePg/>
        </w:sectPr>
      </w:pPr>
    </w:p>
    <w:p w:rsidR="00386AF2" w:rsidRDefault="00386AF2" w:rsidP="00472D4A">
      <w:pPr>
        <w:pStyle w:val="CenterTextBoldUnd"/>
      </w:pPr>
      <w:r w:rsidRPr="008925A6">
        <w:rPr>
          <w:u w:val="none"/>
        </w:rPr>
        <w:lastRenderedPageBreak/>
        <w:t>EXHIBIT C</w:t>
      </w:r>
    </w:p>
    <w:p w:rsidR="008652C7" w:rsidRDefault="00416F12">
      <w:pPr>
        <w:pStyle w:val="CenterTextBold"/>
      </w:pPr>
      <w:r>
        <w:t>INVESTORS’ RIGHTS AGREEMENT</w:t>
      </w:r>
    </w:p>
    <w:sectPr w:rsidR="008652C7">
      <w:footerReference w:type="default" r:id="rId16"/>
      <w:endnotePr>
        <w:numFmt w:val="decimal"/>
      </w:endnotePr>
      <w:pgSz w:w="12240" w:h="15840" w:code="1"/>
      <w:pgMar w:top="1728" w:right="1080" w:bottom="1440" w:left="1440" w:header="1872" w:footer="936" w:gutter="0"/>
      <w:pgNumType w:start="1"/>
      <w:cols w:space="720"/>
      <w:titlePg/>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Manifest>
    <wne:toolbarData r:id="rId1"/>
  </wne:toolbars>
  <wne:acds>
    <wne:acd wne:argValue="AgBFAHgAQgAgAEgAMQA=" wne:acdName="acd0" wne:fciIndexBasedOn="0065"/>
    <wne:acd wne:argValue="AgBFAHgAQgAgAEgAMgA=" wne:acdName="acd1" wne:fciIndexBasedOn="0065"/>
    <wne:acd wne:argValue="AgBFAHgAQgAgAEgAMwA=" wne:acdName="acd2" wne:fciIndexBasedOn="0065"/>
    <wne:acd wne:argValue="AgBFAHgAQgAgAEgANAA=" wne:acdName="acd3" wne:fciIndexBasedOn="0065"/>
    <wne:acd wne:argValue="AgBFAHgAQgAgAEgANQA=" wne:acdName="acd4" wne:fciIndexBasedOn="0065"/>
    <wne:acd wne:argValue="AgBFAHgAQwAgAEgAMQA=" wne:acdName="acd5" wne:fciIndexBasedOn="0065"/>
    <wne:acd wne:argValue="AgBFAHgAQwAgAEgAMgA=" wne:acdName="acd6" wne:fciIndexBasedOn="0065"/>
    <wne:acd wne:argValue="AgBFAHgAQwAgAEgAMwA=" wne:acdName="acd7" wne:fciIndexBasedOn="0065"/>
    <wne:acd wne:argValue="AgBFAHgAQwAgAEgANAA=" wne:acdName="acd8" wne:fciIndexBasedOn="0065"/>
    <wne:acd wne:argValue="AgBFAHgAQwAgAEgANQA=" wne:acdName="acd9" wne:fciIndexBasedOn="0065"/>
    <wne:acd wne:argValue="AgBFAHgARAAgAEgAMQA=" wne:acdName="acd10" wne:fciIndexBasedOn="0065"/>
    <wne:acd wne:argValue="AgBFAHgARAAgAEgAMgA=" wne:acdName="acd11" wne:fciIndexBasedOn="0065"/>
    <wne:acd wne:argValue="AgBFAHgARAAgAEgAMwA=" wne:acdName="acd12" wne:fciIndexBasedOn="0065"/>
    <wne:acd wne:argValue="AgBFAHgARAAgAEgANAA=" wne:acdName="acd13" wne:fciIndexBasedOn="0065"/>
    <wne:acd wne:argValue="AgBFAHgARAAgAEgANQA=" wne:acdName="acd14" wne:fciIndexBasedOn="0065"/>
    <wne:acd wne:argValue="AgBFAHgARQAgAEgAMQA=" wne:acdName="acd15" wne:fciIndexBasedOn="0065"/>
    <wne:acd wne:argValue="AgBFAHgARQAgAEgAMgA=" wne:acdName="acd16" wne:fciIndexBasedOn="0065"/>
    <wne:acd wne:argValue="AgBFAHgARQAgAEgAMwA=" wne:acdName="acd17" wne:fciIndexBasedOn="0065"/>
    <wne:acd wne:argValue="AgBFAHgARQAgAEgANAA=" wne:acdName="acd18" wne:fciIndexBasedOn="0065"/>
    <wne:acd wne:argValue="AgBFAHgARQAgAEgANQA=" wne:acdName="acd19" wne:fciIndexBasedOn="0065"/>
    <wne:acd wne:argValue="AgBFAHgARgAgAEgAMQA=" wne:acdName="acd20" wne:fciIndexBasedOn="0065"/>
    <wne:acd wne:argValue="AgBFAHgARgAgAEgAMgA=" wne:acdName="acd21" wne:fciIndexBasedOn="0065"/>
    <wne:acd wne:argValue="AgBFAHgARgAgAEgAMwA=" wne:acdName="acd22" wne:fciIndexBasedOn="0065"/>
    <wne:acd wne:argValue="AgBFAHgARgAgAEgANAA=" wne:acdName="acd23" wne:fciIndexBasedOn="0065"/>
    <wne:acd wne:argValue="AgBFAHgARgAgAEgANQA=" wne:acdName="acd24" wne:fciIndexBasedOn="0065"/>
    <wne:acd wne:argValue="AgBFAHgARwAgAEgAMQA=" wne:acdName="acd25" wne:fciIndexBasedOn="0065"/>
    <wne:acd wne:argValue="AgBFAHgARwAgAEgAMgA=" wne:acdName="acd26" wne:fciIndexBasedOn="0065"/>
    <wne:acd wne:argValue="AgBFAHgARwAgAEgAMwA=" wne:acdName="acd27" wne:fciIndexBasedOn="0065"/>
    <wne:acd wne:argValue="AgBFAHgARwAgAEgANAA=" wne:acdName="acd28" wne:fciIndexBasedOn="0065"/>
    <wne:acd wne:argValue="AgBFAHgARwAgAEgANQA=" wne:acdName="acd29" wne:fciIndexBasedOn="0065"/>
    <wne:acd wne:argValue="AgBFAHgASAAgAEgAMQA=" wne:acdName="acd30" wne:fciIndexBasedOn="0065"/>
    <wne:acd wne:argValue="AgBFAHgASAAgAEgAMgA=" wne:acdName="acd31" wne:fciIndexBasedOn="0065"/>
    <wne:acd wne:argValue="AgBFAHgASAAgAEgAMwA=" wne:acdName="acd32" wne:fciIndexBasedOn="0065"/>
    <wne:acd wne:argValue="AgBFAHgASAAgAEgANAA=" wne:acdName="acd33" wne:fciIndexBasedOn="0065"/>
    <wne:acd wne:argValue="AgBFAHgASAAgAEgANQA=" wne:acdName="acd3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7C3" w:rsidRDefault="006107C3">
      <w:r>
        <w:separator/>
      </w:r>
    </w:p>
  </w:endnote>
  <w:endnote w:type="continuationSeparator" w:id="0">
    <w:p w:rsidR="006107C3" w:rsidRDefault="00610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D2D" w:rsidRDefault="00827D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D2D" w:rsidRDefault="00827D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F12" w:rsidRDefault="00416F12" w:rsidP="00CE3C11">
    <w:pPr>
      <w:pStyle w:val="Footer"/>
      <w:tabs>
        <w:tab w:val="clear" w:pos="5040"/>
        <w:tab w:val="clear" w:pos="9720"/>
        <w:tab w:val="center" w:pos="4860"/>
      </w:tabs>
      <w:rPr>
        <w:sz w:val="1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F12" w:rsidRPr="00C06D6A" w:rsidRDefault="00416F12" w:rsidP="00CE3C11">
    <w:pPr>
      <w:pStyle w:val="Footer"/>
      <w:tabs>
        <w:tab w:val="clear" w:pos="5040"/>
        <w:tab w:val="clear" w:pos="9720"/>
        <w:tab w:val="center" w:pos="4860"/>
      </w:tabs>
      <w:jc w:val="center"/>
      <w:rPr>
        <w:b/>
        <w:i/>
        <w:snapToGrid w:val="0"/>
        <w:sz w:val="20"/>
      </w:rPr>
    </w:pPr>
    <w:r w:rsidRPr="00C06D6A">
      <w:rPr>
        <w:b/>
        <w:i/>
        <w:snapToGrid w:val="0"/>
        <w:sz w:val="20"/>
      </w:rPr>
      <w:t>(Signature Page to Series </w:t>
    </w:r>
    <w:r>
      <w:rPr>
        <w:b/>
        <w:i/>
        <w:snapToGrid w:val="0"/>
        <w:sz w:val="20"/>
      </w:rPr>
      <w:t>A</w:t>
    </w:r>
    <w:r w:rsidRPr="00C06D6A">
      <w:rPr>
        <w:b/>
        <w:i/>
        <w:snapToGrid w:val="0"/>
        <w:sz w:val="20"/>
      </w:rPr>
      <w:t>A Preferred Purchase Agreement)</w:t>
    </w:r>
  </w:p>
  <w:p w:rsidR="00416F12" w:rsidRDefault="00416F12" w:rsidP="00C06D6A">
    <w:pPr>
      <w:pStyle w:val="Footer"/>
      <w:spacing w:before="240"/>
      <w:rPr>
        <w:sz w:val="1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F12" w:rsidRDefault="00416F12" w:rsidP="00CE3C11">
    <w:pPr>
      <w:pStyle w:val="Footer"/>
      <w:tabs>
        <w:tab w:val="clear" w:pos="5040"/>
        <w:tab w:val="clear" w:pos="9720"/>
        <w:tab w:val="center" w:pos="4860"/>
      </w:tabs>
      <w:rPr>
        <w:snapToGrid w:val="0"/>
        <w:sz w:val="15"/>
      </w:rPr>
    </w:pPr>
  </w:p>
  <w:p w:rsidR="00416F12" w:rsidRDefault="00416F12">
    <w:pPr>
      <w:pStyle w:val="Footer"/>
      <w:rPr>
        <w:sz w:val="15"/>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F12" w:rsidRDefault="00416F12">
    <w:pPr>
      <w:pStyle w:val="Footer"/>
      <w:rPr>
        <w:rStyle w:val="PageNumber"/>
      </w:rPr>
    </w:pPr>
    <w:r>
      <w:rPr>
        <w:snapToGrid w:val="0"/>
      </w:rPr>
      <w:tab/>
      <w:t>-</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p>
  <w:p w:rsidR="00416F12" w:rsidRDefault="00416F12">
    <w:pPr>
      <w:pStyle w:val="Footer"/>
    </w:pPr>
    <w:r>
      <w:rPr>
        <w:snapToGrid w:val="0"/>
        <w:sz w:val="15"/>
      </w:rPr>
      <w:fldChar w:fldCharType="begin"/>
    </w:r>
    <w:r>
      <w:rPr>
        <w:snapToGrid w:val="0"/>
        <w:sz w:val="15"/>
      </w:rPr>
      <w:instrText xml:space="preserve"> FILENAME \p </w:instrText>
    </w:r>
    <w:r>
      <w:rPr>
        <w:snapToGrid w:val="0"/>
        <w:sz w:val="15"/>
      </w:rPr>
      <w:fldChar w:fldCharType="separate"/>
    </w:r>
    <w:r>
      <w:rPr>
        <w:noProof/>
        <w:snapToGrid w:val="0"/>
        <w:sz w:val="15"/>
      </w:rPr>
      <w:t>C:\DOCUME~1\CJ1\LOCALS~1\Temp\MetaSave\Series AA SPA (generic)_(PALIB2_3978389_1).DOC</w:t>
    </w:r>
    <w:r>
      <w:rPr>
        <w:snapToGrid w:val="0"/>
        <w:sz w:val="15"/>
      </w:rPr>
      <w:fldChar w:fldCharType="end"/>
    </w:r>
    <w:r>
      <w:rPr>
        <w:snapToGrid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7C3" w:rsidRDefault="006107C3" w:rsidP="00C132A5">
      <w:pPr>
        <w:ind w:firstLine="0"/>
      </w:pPr>
      <w:r>
        <w:separator/>
      </w:r>
    </w:p>
  </w:footnote>
  <w:footnote w:type="continuationSeparator" w:id="0">
    <w:p w:rsidR="006107C3" w:rsidRDefault="006107C3" w:rsidP="0089402B">
      <w:pPr>
        <w:ind w:firstLine="0"/>
      </w:pPr>
      <w:r>
        <w:continuationSeparator/>
      </w:r>
    </w:p>
  </w:footnote>
  <w:footnote w:type="continuationNotice" w:id="1">
    <w:p w:rsidR="006107C3" w:rsidRDefault="006107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D2D" w:rsidRDefault="00827D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F12" w:rsidRPr="008652C7" w:rsidRDefault="00416F12" w:rsidP="008652C7">
    <w:pPr>
      <w:pStyle w:val="Header"/>
      <w:spacing w:after="120"/>
      <w:jc w:val="right"/>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F12" w:rsidRDefault="00416F12" w:rsidP="00C344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D6C"/>
    <w:multiLevelType w:val="multilevel"/>
    <w:tmpl w:val="555C35C4"/>
    <w:lvl w:ilvl="0">
      <w:start w:val="1"/>
      <w:numFmt w:val="upperRoman"/>
      <w:suff w:val="nothing"/>
      <w:lvlText w:val="ARTICLE %1"/>
      <w:lvlJc w:val="left"/>
      <w:pPr>
        <w:ind w:left="0" w:firstLine="0"/>
      </w:pPr>
      <w:rPr>
        <w:u w:val="none"/>
      </w:rPr>
    </w:lvl>
    <w:lvl w:ilvl="1">
      <w:start w:val="1"/>
      <w:numFmt w:val="decimal"/>
      <w:isLgl/>
      <w:lvlText w:val="%1.%2"/>
      <w:lvlJc w:val="left"/>
      <w:pPr>
        <w:tabs>
          <w:tab w:val="num" w:pos="1080"/>
        </w:tabs>
        <w:ind w:left="0" w:firstLine="720"/>
      </w:pPr>
      <w:rPr>
        <w:u w:val="none"/>
      </w:rPr>
    </w:lvl>
    <w:lvl w:ilvl="2">
      <w:start w:val="1"/>
      <w:numFmt w:val="lowerLetter"/>
      <w:lvlText w:val="(%3)"/>
      <w:lvlJc w:val="left"/>
      <w:pPr>
        <w:tabs>
          <w:tab w:val="num" w:pos="1800"/>
        </w:tabs>
        <w:ind w:left="0" w:firstLine="1440"/>
      </w:pPr>
      <w:rPr>
        <w:u w:val="none"/>
      </w:rPr>
    </w:lvl>
    <w:lvl w:ilvl="3">
      <w:start w:val="1"/>
      <w:numFmt w:val="lowerRoman"/>
      <w:lvlText w:val="(%4)"/>
      <w:lvlJc w:val="right"/>
      <w:pPr>
        <w:tabs>
          <w:tab w:val="num" w:pos="2880"/>
        </w:tabs>
        <w:ind w:left="0" w:firstLine="2520"/>
      </w:pPr>
      <w:rPr>
        <w:u w:val="none"/>
      </w:rPr>
    </w:lvl>
    <w:lvl w:ilvl="4">
      <w:start w:val="1"/>
      <w:numFmt w:val="decimal"/>
      <w:lvlText w:val="(%5)"/>
      <w:lvlJc w:val="left"/>
      <w:pPr>
        <w:tabs>
          <w:tab w:val="num" w:pos="3240"/>
        </w:tabs>
        <w:ind w:left="0" w:firstLine="2880"/>
      </w:pPr>
      <w:rPr>
        <w:u w:val="none"/>
      </w:rPr>
    </w:lvl>
    <w:lvl w:ilvl="5">
      <w:start w:val="1"/>
      <w:numFmt w:val="lowerLetter"/>
      <w:lvlText w:val="%6)"/>
      <w:lvlJc w:val="left"/>
      <w:pPr>
        <w:tabs>
          <w:tab w:val="num" w:pos="3960"/>
        </w:tabs>
        <w:ind w:left="0" w:firstLine="3600"/>
      </w:pPr>
      <w:rPr>
        <w:u w:val="none"/>
      </w:rPr>
    </w:lvl>
    <w:lvl w:ilvl="6">
      <w:start w:val="1"/>
      <w:numFmt w:val="lowerRoman"/>
      <w:lvlText w:val="%7)"/>
      <w:lvlJc w:val="right"/>
      <w:pPr>
        <w:tabs>
          <w:tab w:val="num" w:pos="5040"/>
        </w:tabs>
        <w:ind w:left="0" w:firstLine="4680"/>
      </w:pPr>
      <w:rPr>
        <w:u w:val="none"/>
      </w:rPr>
    </w:lvl>
    <w:lvl w:ilvl="7">
      <w:start w:val="1"/>
      <w:numFmt w:val="decimal"/>
      <w:lvlText w:val="%8)"/>
      <w:lvlJc w:val="left"/>
      <w:pPr>
        <w:tabs>
          <w:tab w:val="num" w:pos="5400"/>
        </w:tabs>
        <w:ind w:left="0" w:firstLine="5040"/>
      </w:pPr>
      <w:rPr>
        <w:u w:val="none"/>
      </w:rPr>
    </w:lvl>
    <w:lvl w:ilvl="8">
      <w:start w:val="1"/>
      <w:numFmt w:val="lowerRoman"/>
      <w:lvlText w:val="%9."/>
      <w:lvlJc w:val="right"/>
      <w:pPr>
        <w:tabs>
          <w:tab w:val="num" w:pos="1584"/>
        </w:tabs>
        <w:ind w:left="1584" w:hanging="144"/>
      </w:pPr>
      <w:rPr>
        <w:u w:val="none"/>
      </w:rPr>
    </w:lvl>
  </w:abstractNum>
  <w:abstractNum w:abstractNumId="1">
    <w:nsid w:val="08264C2B"/>
    <w:multiLevelType w:val="multilevel"/>
    <w:tmpl w:val="CC960EDE"/>
    <w:lvl w:ilvl="0">
      <w:start w:val="1"/>
      <w:numFmt w:val="decimal"/>
      <w:pStyle w:val="ExDH1"/>
      <w:lvlText w:val="%1."/>
      <w:lvlJc w:val="left"/>
      <w:pPr>
        <w:tabs>
          <w:tab w:val="num" w:pos="1080"/>
        </w:tabs>
        <w:ind w:left="0" w:firstLine="720"/>
      </w:pPr>
      <w:rPr>
        <w:u w:val="none"/>
      </w:rPr>
    </w:lvl>
    <w:lvl w:ilvl="1">
      <w:start w:val="1"/>
      <w:numFmt w:val="lowerLetter"/>
      <w:pStyle w:val="ExDH2"/>
      <w:lvlText w:val="(%2)"/>
      <w:lvlJc w:val="left"/>
      <w:pPr>
        <w:tabs>
          <w:tab w:val="num" w:pos="1800"/>
        </w:tabs>
        <w:ind w:left="0" w:firstLine="1440"/>
      </w:pPr>
      <w:rPr>
        <w:u w:val="none"/>
      </w:rPr>
    </w:lvl>
    <w:lvl w:ilvl="2">
      <w:start w:val="1"/>
      <w:numFmt w:val="lowerRoman"/>
      <w:pStyle w:val="ExDH3"/>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2">
    <w:nsid w:val="0A8B188A"/>
    <w:multiLevelType w:val="multilevel"/>
    <w:tmpl w:val="C97AF968"/>
    <w:lvl w:ilvl="0">
      <w:start w:val="1"/>
      <w:numFmt w:val="decimal"/>
      <w:pStyle w:val="ExCH1"/>
      <w:lvlText w:val="%1."/>
      <w:lvlJc w:val="left"/>
      <w:pPr>
        <w:tabs>
          <w:tab w:val="num" w:pos="1080"/>
        </w:tabs>
        <w:ind w:left="0" w:firstLine="720"/>
      </w:pPr>
      <w:rPr>
        <w:u w:val="none"/>
      </w:rPr>
    </w:lvl>
    <w:lvl w:ilvl="1">
      <w:start w:val="1"/>
      <w:numFmt w:val="lowerLetter"/>
      <w:pStyle w:val="ExCH2"/>
      <w:lvlText w:val="(%2)"/>
      <w:lvlJc w:val="left"/>
      <w:pPr>
        <w:tabs>
          <w:tab w:val="num" w:pos="1800"/>
        </w:tabs>
        <w:ind w:left="0" w:firstLine="1440"/>
      </w:pPr>
      <w:rPr>
        <w:u w:val="none"/>
      </w:rPr>
    </w:lvl>
    <w:lvl w:ilvl="2">
      <w:start w:val="1"/>
      <w:numFmt w:val="lowerRoman"/>
      <w:pStyle w:val="ExCH3"/>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3">
    <w:nsid w:val="0CFE29B4"/>
    <w:multiLevelType w:val="multilevel"/>
    <w:tmpl w:val="8E98FCEA"/>
    <w:lvl w:ilvl="0">
      <w:start w:val="1"/>
      <w:numFmt w:val="decimal"/>
      <w:pStyle w:val="Heading1"/>
      <w:suff w:val="nothing"/>
      <w:lvlText w:val="Section %1"/>
      <w:lvlJc w:val="left"/>
      <w:pPr>
        <w:ind w:left="0" w:firstLine="0"/>
      </w:pPr>
      <w:rPr>
        <w:rFonts w:hint="default"/>
        <w:b/>
        <w:i w:val="0"/>
        <w:caps/>
        <w:u w:val="none"/>
      </w:rPr>
    </w:lvl>
    <w:lvl w:ilvl="1">
      <w:start w:val="1"/>
      <w:numFmt w:val="decimal"/>
      <w:pStyle w:val="Heading2"/>
      <w:isLgl/>
      <w:lvlText w:val="%1.%2"/>
      <w:lvlJc w:val="left"/>
      <w:pPr>
        <w:tabs>
          <w:tab w:val="num" w:pos="7560"/>
        </w:tabs>
        <w:ind w:left="6480" w:firstLine="720"/>
      </w:pPr>
      <w:rPr>
        <w:rFonts w:hint="default"/>
        <w:u w:val="none"/>
      </w:rPr>
    </w:lvl>
    <w:lvl w:ilvl="2">
      <w:start w:val="1"/>
      <w:numFmt w:val="lowerLetter"/>
      <w:pStyle w:val="Heading3"/>
      <w:lvlText w:val="(%3)"/>
      <w:lvlJc w:val="left"/>
      <w:pPr>
        <w:tabs>
          <w:tab w:val="num" w:pos="1800"/>
        </w:tabs>
        <w:ind w:left="0" w:firstLine="1440"/>
      </w:pPr>
      <w:rPr>
        <w:rFonts w:hint="default"/>
        <w:u w:val="none"/>
      </w:rPr>
    </w:lvl>
    <w:lvl w:ilvl="3">
      <w:start w:val="1"/>
      <w:numFmt w:val="lowerRoman"/>
      <w:pStyle w:val="Heading4"/>
      <w:lvlText w:val="(%4)"/>
      <w:lvlJc w:val="right"/>
      <w:pPr>
        <w:tabs>
          <w:tab w:val="num" w:pos="2880"/>
        </w:tabs>
        <w:ind w:left="0" w:firstLine="2520"/>
      </w:pPr>
      <w:rPr>
        <w:rFonts w:hint="default"/>
        <w:u w:val="none"/>
      </w:rPr>
    </w:lvl>
    <w:lvl w:ilvl="4">
      <w:start w:val="1"/>
      <w:numFmt w:val="decimal"/>
      <w:pStyle w:val="Heading5"/>
      <w:lvlText w:val="(%5)"/>
      <w:lvlJc w:val="left"/>
      <w:pPr>
        <w:tabs>
          <w:tab w:val="num" w:pos="3240"/>
        </w:tabs>
        <w:ind w:left="0" w:firstLine="2880"/>
      </w:pPr>
      <w:rPr>
        <w:rFonts w:hint="default"/>
        <w:u w:val="none"/>
      </w:rPr>
    </w:lvl>
    <w:lvl w:ilvl="5">
      <w:start w:val="1"/>
      <w:numFmt w:val="lowerLetter"/>
      <w:pStyle w:val="Heading6"/>
      <w:lvlText w:val="%6)"/>
      <w:lvlJc w:val="left"/>
      <w:pPr>
        <w:tabs>
          <w:tab w:val="num" w:pos="3960"/>
        </w:tabs>
        <w:ind w:left="0" w:firstLine="3600"/>
      </w:pPr>
      <w:rPr>
        <w:rFonts w:hint="default"/>
        <w:u w:val="none"/>
      </w:rPr>
    </w:lvl>
    <w:lvl w:ilvl="6">
      <w:start w:val="1"/>
      <w:numFmt w:val="lowerRoman"/>
      <w:pStyle w:val="Heading7"/>
      <w:lvlText w:val="%7)"/>
      <w:lvlJc w:val="right"/>
      <w:pPr>
        <w:tabs>
          <w:tab w:val="num" w:pos="5040"/>
        </w:tabs>
        <w:ind w:left="0" w:firstLine="4680"/>
      </w:pPr>
      <w:rPr>
        <w:rFonts w:hint="default"/>
        <w:u w:val="none"/>
      </w:rPr>
    </w:lvl>
    <w:lvl w:ilvl="7">
      <w:start w:val="1"/>
      <w:numFmt w:val="decimal"/>
      <w:pStyle w:val="Heading8"/>
      <w:lvlText w:val="%8)"/>
      <w:lvlJc w:val="left"/>
      <w:pPr>
        <w:tabs>
          <w:tab w:val="num" w:pos="5400"/>
        </w:tabs>
        <w:ind w:left="0" w:firstLine="504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4">
    <w:nsid w:val="113A1485"/>
    <w:multiLevelType w:val="multilevel"/>
    <w:tmpl w:val="21D40292"/>
    <w:lvl w:ilvl="0">
      <w:start w:val="1"/>
      <w:numFmt w:val="decimal"/>
      <w:pStyle w:val="ExHH1"/>
      <w:lvlText w:val="%1."/>
      <w:lvlJc w:val="left"/>
      <w:pPr>
        <w:tabs>
          <w:tab w:val="num" w:pos="1080"/>
        </w:tabs>
        <w:ind w:left="0" w:firstLine="720"/>
      </w:pPr>
      <w:rPr>
        <w:u w:val="none"/>
      </w:rPr>
    </w:lvl>
    <w:lvl w:ilvl="1">
      <w:start w:val="1"/>
      <w:numFmt w:val="lowerLetter"/>
      <w:pStyle w:val="ExHH2"/>
      <w:lvlText w:val="(%2)"/>
      <w:lvlJc w:val="left"/>
      <w:pPr>
        <w:tabs>
          <w:tab w:val="num" w:pos="1800"/>
        </w:tabs>
        <w:ind w:left="0" w:firstLine="1440"/>
      </w:pPr>
      <w:rPr>
        <w:u w:val="none"/>
      </w:rPr>
    </w:lvl>
    <w:lvl w:ilvl="2">
      <w:start w:val="1"/>
      <w:numFmt w:val="lowerRoman"/>
      <w:pStyle w:val="ExHH3"/>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5">
    <w:nsid w:val="132C3341"/>
    <w:multiLevelType w:val="multilevel"/>
    <w:tmpl w:val="34F04664"/>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6">
    <w:nsid w:val="17775B08"/>
    <w:multiLevelType w:val="multilevel"/>
    <w:tmpl w:val="52E6C394"/>
    <w:lvl w:ilvl="0">
      <w:start w:val="1"/>
      <w:numFmt w:val="upperRoman"/>
      <w:suff w:val="nothing"/>
      <w:lvlText w:val="SECTION %1"/>
      <w:lvlJc w:val="left"/>
      <w:pPr>
        <w:ind w:left="0" w:firstLine="0"/>
      </w:pPr>
      <w:rPr>
        <w:rFonts w:hint="default"/>
        <w:u w:val="none"/>
      </w:rPr>
    </w:lvl>
    <w:lvl w:ilvl="1">
      <w:start w:val="1"/>
      <w:numFmt w:val="decimal"/>
      <w:isLgl/>
      <w:lvlText w:val="%1.%2"/>
      <w:lvlJc w:val="left"/>
      <w:pPr>
        <w:tabs>
          <w:tab w:val="num" w:pos="1080"/>
        </w:tabs>
        <w:ind w:left="0" w:firstLine="720"/>
      </w:pPr>
      <w:rPr>
        <w:rFonts w:hint="default"/>
        <w:u w:val="none"/>
      </w:rPr>
    </w:lvl>
    <w:lvl w:ilvl="2">
      <w:start w:val="1"/>
      <w:numFmt w:val="lowerLetter"/>
      <w:lvlText w:val="(%3)"/>
      <w:lvlJc w:val="left"/>
      <w:pPr>
        <w:tabs>
          <w:tab w:val="num" w:pos="1800"/>
        </w:tabs>
        <w:ind w:left="0" w:firstLine="1440"/>
      </w:pPr>
      <w:rPr>
        <w:rFonts w:hint="default"/>
        <w:u w:val="none"/>
      </w:rPr>
    </w:lvl>
    <w:lvl w:ilvl="3">
      <w:start w:val="1"/>
      <w:numFmt w:val="lowerRoman"/>
      <w:lvlText w:val="(%4)"/>
      <w:lvlJc w:val="right"/>
      <w:pPr>
        <w:tabs>
          <w:tab w:val="num" w:pos="2880"/>
        </w:tabs>
        <w:ind w:left="0" w:firstLine="2520"/>
      </w:pPr>
      <w:rPr>
        <w:rFonts w:hint="default"/>
        <w:u w:val="none"/>
      </w:rPr>
    </w:lvl>
    <w:lvl w:ilvl="4">
      <w:start w:val="1"/>
      <w:numFmt w:val="decimal"/>
      <w:lvlText w:val="(%5)"/>
      <w:lvlJc w:val="left"/>
      <w:pPr>
        <w:tabs>
          <w:tab w:val="num" w:pos="3240"/>
        </w:tabs>
        <w:ind w:left="0" w:firstLine="2880"/>
      </w:pPr>
      <w:rPr>
        <w:rFonts w:hint="default"/>
        <w:u w:val="none"/>
      </w:rPr>
    </w:lvl>
    <w:lvl w:ilvl="5">
      <w:start w:val="1"/>
      <w:numFmt w:val="lowerLetter"/>
      <w:lvlText w:val="%6)"/>
      <w:lvlJc w:val="left"/>
      <w:pPr>
        <w:tabs>
          <w:tab w:val="num" w:pos="3960"/>
        </w:tabs>
        <w:ind w:left="0" w:firstLine="3600"/>
      </w:pPr>
      <w:rPr>
        <w:rFonts w:hint="default"/>
        <w:u w:val="none"/>
      </w:rPr>
    </w:lvl>
    <w:lvl w:ilvl="6">
      <w:start w:val="1"/>
      <w:numFmt w:val="lowerRoman"/>
      <w:lvlText w:val="%7)"/>
      <w:lvlJc w:val="right"/>
      <w:pPr>
        <w:tabs>
          <w:tab w:val="num" w:pos="5040"/>
        </w:tabs>
        <w:ind w:left="0" w:firstLine="4680"/>
      </w:pPr>
      <w:rPr>
        <w:rFonts w:hint="default"/>
        <w:u w:val="none"/>
      </w:rPr>
    </w:lvl>
    <w:lvl w:ilvl="7">
      <w:start w:val="1"/>
      <w:numFmt w:val="decimal"/>
      <w:lvlText w:val="%8)"/>
      <w:lvlJc w:val="left"/>
      <w:pPr>
        <w:tabs>
          <w:tab w:val="num" w:pos="5400"/>
        </w:tabs>
        <w:ind w:left="0" w:firstLine="5040"/>
      </w:pPr>
      <w:rPr>
        <w:rFonts w:hint="default"/>
        <w:u w:val="none"/>
      </w:rPr>
    </w:lvl>
    <w:lvl w:ilvl="8">
      <w:start w:val="1"/>
      <w:numFmt w:val="lowerRoman"/>
      <w:lvlText w:val="%9."/>
      <w:lvlJc w:val="right"/>
      <w:pPr>
        <w:tabs>
          <w:tab w:val="num" w:pos="1584"/>
        </w:tabs>
        <w:ind w:left="1584" w:hanging="144"/>
      </w:pPr>
      <w:rPr>
        <w:rFonts w:hint="default"/>
        <w:u w:val="none"/>
      </w:rPr>
    </w:lvl>
  </w:abstractNum>
  <w:abstractNum w:abstractNumId="7">
    <w:nsid w:val="18760B5A"/>
    <w:multiLevelType w:val="multilevel"/>
    <w:tmpl w:val="F62EF412"/>
    <w:lvl w:ilvl="0">
      <w:start w:val="1"/>
      <w:numFmt w:val="decimal"/>
      <w:pStyle w:val="ExGH1"/>
      <w:lvlText w:val="%1."/>
      <w:lvlJc w:val="left"/>
      <w:pPr>
        <w:tabs>
          <w:tab w:val="num" w:pos="1080"/>
        </w:tabs>
        <w:ind w:left="0" w:firstLine="720"/>
      </w:pPr>
      <w:rPr>
        <w:u w:val="none"/>
      </w:rPr>
    </w:lvl>
    <w:lvl w:ilvl="1">
      <w:start w:val="1"/>
      <w:numFmt w:val="lowerLetter"/>
      <w:pStyle w:val="ExGH2"/>
      <w:lvlText w:val="(%2)"/>
      <w:lvlJc w:val="left"/>
      <w:pPr>
        <w:tabs>
          <w:tab w:val="num" w:pos="1800"/>
        </w:tabs>
        <w:ind w:left="0" w:firstLine="1440"/>
      </w:pPr>
      <w:rPr>
        <w:u w:val="none"/>
      </w:rPr>
    </w:lvl>
    <w:lvl w:ilvl="2">
      <w:start w:val="1"/>
      <w:numFmt w:val="lowerRoman"/>
      <w:pStyle w:val="ExGH3"/>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8">
    <w:nsid w:val="2F481F48"/>
    <w:multiLevelType w:val="multilevel"/>
    <w:tmpl w:val="AD703F4A"/>
    <w:lvl w:ilvl="0">
      <w:start w:val="1"/>
      <w:numFmt w:val="decimal"/>
      <w:pStyle w:val="ExEH1"/>
      <w:lvlText w:val="%1."/>
      <w:lvlJc w:val="left"/>
      <w:pPr>
        <w:tabs>
          <w:tab w:val="num" w:pos="1080"/>
        </w:tabs>
        <w:ind w:left="0" w:firstLine="720"/>
      </w:pPr>
      <w:rPr>
        <w:u w:val="none"/>
      </w:rPr>
    </w:lvl>
    <w:lvl w:ilvl="1">
      <w:start w:val="1"/>
      <w:numFmt w:val="lowerLetter"/>
      <w:pStyle w:val="ExEH2"/>
      <w:lvlText w:val="(%2)"/>
      <w:lvlJc w:val="left"/>
      <w:pPr>
        <w:tabs>
          <w:tab w:val="num" w:pos="1800"/>
        </w:tabs>
        <w:ind w:left="0" w:firstLine="1440"/>
      </w:pPr>
      <w:rPr>
        <w:u w:val="none"/>
      </w:rPr>
    </w:lvl>
    <w:lvl w:ilvl="2">
      <w:start w:val="1"/>
      <w:numFmt w:val="lowerRoman"/>
      <w:pStyle w:val="ExEH3"/>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9">
    <w:nsid w:val="359C4D38"/>
    <w:multiLevelType w:val="multilevel"/>
    <w:tmpl w:val="FB72F0F6"/>
    <w:lvl w:ilvl="0">
      <w:start w:val="1"/>
      <w:numFmt w:val="decimal"/>
      <w:pStyle w:val="ExAHeading1"/>
      <w:lvlText w:val="%1."/>
      <w:lvlJc w:val="left"/>
      <w:pPr>
        <w:tabs>
          <w:tab w:val="num" w:pos="1080"/>
        </w:tabs>
        <w:ind w:left="0" w:firstLine="720"/>
      </w:pPr>
      <w:rPr>
        <w:rFonts w:hint="default"/>
        <w:u w:val="none"/>
      </w:rPr>
    </w:lvl>
    <w:lvl w:ilvl="1">
      <w:start w:val="1"/>
      <w:numFmt w:val="lowerLetter"/>
      <w:pStyle w:val="ExAHeading2"/>
      <w:lvlText w:val="(%2)"/>
      <w:lvlJc w:val="left"/>
      <w:pPr>
        <w:tabs>
          <w:tab w:val="num" w:pos="1800"/>
        </w:tabs>
        <w:ind w:left="0" w:firstLine="1440"/>
      </w:pPr>
      <w:rPr>
        <w:rFonts w:hint="default"/>
        <w:u w:val="none"/>
      </w:rPr>
    </w:lvl>
    <w:lvl w:ilvl="2">
      <w:start w:val="1"/>
      <w:numFmt w:val="lowerRoman"/>
      <w:pStyle w:val="ExAHeading3"/>
      <w:lvlText w:val="(%3)"/>
      <w:lvlJc w:val="right"/>
      <w:pPr>
        <w:tabs>
          <w:tab w:val="num" w:pos="2880"/>
        </w:tabs>
        <w:ind w:left="0" w:firstLine="2520"/>
      </w:pPr>
      <w:rPr>
        <w:rFonts w:hint="default"/>
        <w:u w:val="none"/>
      </w:rPr>
    </w:lvl>
    <w:lvl w:ilvl="3">
      <w:start w:val="1"/>
      <w:numFmt w:val="decimal"/>
      <w:pStyle w:val="ExAHeading4"/>
      <w:lvlText w:val="(%4)"/>
      <w:lvlJc w:val="left"/>
      <w:pPr>
        <w:tabs>
          <w:tab w:val="num" w:pos="3240"/>
        </w:tabs>
        <w:ind w:left="0" w:firstLine="2880"/>
      </w:pPr>
      <w:rPr>
        <w:rFonts w:hint="default"/>
        <w:u w:val="none"/>
      </w:rPr>
    </w:lvl>
    <w:lvl w:ilvl="4">
      <w:start w:val="1"/>
      <w:numFmt w:val="lowerLetter"/>
      <w:pStyle w:val="ExAHeading5"/>
      <w:lvlText w:val="%5)"/>
      <w:lvlJc w:val="left"/>
      <w:pPr>
        <w:tabs>
          <w:tab w:val="num" w:pos="396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10">
    <w:nsid w:val="42E1071E"/>
    <w:multiLevelType w:val="multilevel"/>
    <w:tmpl w:val="0FF2070E"/>
    <w:lvl w:ilvl="0">
      <w:start w:val="1"/>
      <w:numFmt w:val="decimal"/>
      <w:suff w:val="nothing"/>
      <w:lvlText w:val="SECTION %1"/>
      <w:lvlJc w:val="left"/>
      <w:pPr>
        <w:ind w:left="0" w:firstLine="0"/>
      </w:pPr>
      <w:rPr>
        <w:rFonts w:hint="default"/>
        <w:u w:val="none"/>
      </w:rPr>
    </w:lvl>
    <w:lvl w:ilvl="1">
      <w:start w:val="1"/>
      <w:numFmt w:val="decimal"/>
      <w:isLgl/>
      <w:lvlText w:val="%1.%2"/>
      <w:lvlJc w:val="left"/>
      <w:pPr>
        <w:tabs>
          <w:tab w:val="num" w:pos="1080"/>
        </w:tabs>
        <w:ind w:left="0" w:firstLine="720"/>
      </w:pPr>
      <w:rPr>
        <w:rFonts w:hint="default"/>
        <w:u w:val="none"/>
      </w:rPr>
    </w:lvl>
    <w:lvl w:ilvl="2">
      <w:start w:val="1"/>
      <w:numFmt w:val="lowerLetter"/>
      <w:lvlText w:val="(%3)"/>
      <w:lvlJc w:val="left"/>
      <w:pPr>
        <w:tabs>
          <w:tab w:val="num" w:pos="1800"/>
        </w:tabs>
        <w:ind w:left="0" w:firstLine="1440"/>
      </w:pPr>
      <w:rPr>
        <w:rFonts w:hint="default"/>
        <w:u w:val="none"/>
      </w:rPr>
    </w:lvl>
    <w:lvl w:ilvl="3">
      <w:start w:val="1"/>
      <w:numFmt w:val="lowerRoman"/>
      <w:lvlText w:val="(%4)"/>
      <w:lvlJc w:val="right"/>
      <w:pPr>
        <w:tabs>
          <w:tab w:val="num" w:pos="2880"/>
        </w:tabs>
        <w:ind w:left="0" w:firstLine="2520"/>
      </w:pPr>
      <w:rPr>
        <w:rFonts w:hint="default"/>
        <w:u w:val="none"/>
      </w:rPr>
    </w:lvl>
    <w:lvl w:ilvl="4">
      <w:start w:val="1"/>
      <w:numFmt w:val="decimal"/>
      <w:lvlText w:val="(%5)"/>
      <w:lvlJc w:val="left"/>
      <w:pPr>
        <w:tabs>
          <w:tab w:val="num" w:pos="3240"/>
        </w:tabs>
        <w:ind w:left="0" w:firstLine="2880"/>
      </w:pPr>
      <w:rPr>
        <w:rFonts w:hint="default"/>
        <w:u w:val="none"/>
      </w:rPr>
    </w:lvl>
    <w:lvl w:ilvl="5">
      <w:start w:val="1"/>
      <w:numFmt w:val="lowerLetter"/>
      <w:lvlText w:val="%6)"/>
      <w:lvlJc w:val="left"/>
      <w:pPr>
        <w:tabs>
          <w:tab w:val="num" w:pos="3960"/>
        </w:tabs>
        <w:ind w:left="0" w:firstLine="3600"/>
      </w:pPr>
      <w:rPr>
        <w:rFonts w:hint="default"/>
        <w:u w:val="none"/>
      </w:rPr>
    </w:lvl>
    <w:lvl w:ilvl="6">
      <w:start w:val="1"/>
      <w:numFmt w:val="lowerRoman"/>
      <w:lvlText w:val="%7)"/>
      <w:lvlJc w:val="right"/>
      <w:pPr>
        <w:tabs>
          <w:tab w:val="num" w:pos="5040"/>
        </w:tabs>
        <w:ind w:left="0" w:firstLine="4680"/>
      </w:pPr>
      <w:rPr>
        <w:rFonts w:hint="default"/>
        <w:u w:val="none"/>
      </w:rPr>
    </w:lvl>
    <w:lvl w:ilvl="7">
      <w:start w:val="1"/>
      <w:numFmt w:val="decimal"/>
      <w:lvlText w:val="%8)"/>
      <w:lvlJc w:val="left"/>
      <w:pPr>
        <w:tabs>
          <w:tab w:val="num" w:pos="5400"/>
        </w:tabs>
        <w:ind w:left="0" w:firstLine="5040"/>
      </w:pPr>
      <w:rPr>
        <w:rFonts w:hint="default"/>
        <w:u w:val="none"/>
      </w:rPr>
    </w:lvl>
    <w:lvl w:ilvl="8">
      <w:start w:val="1"/>
      <w:numFmt w:val="lowerRoman"/>
      <w:lvlText w:val="%9."/>
      <w:lvlJc w:val="right"/>
      <w:pPr>
        <w:tabs>
          <w:tab w:val="num" w:pos="1584"/>
        </w:tabs>
        <w:ind w:left="1584" w:hanging="144"/>
      </w:pPr>
      <w:rPr>
        <w:rFonts w:hint="default"/>
        <w:u w:val="none"/>
      </w:rPr>
    </w:lvl>
  </w:abstractNum>
  <w:abstractNum w:abstractNumId="11">
    <w:nsid w:val="432D53DA"/>
    <w:multiLevelType w:val="multilevel"/>
    <w:tmpl w:val="CC8808C6"/>
    <w:lvl w:ilvl="0">
      <w:start w:val="1"/>
      <w:numFmt w:val="decimal"/>
      <w:pStyle w:val="ExFH1"/>
      <w:lvlText w:val="%1."/>
      <w:lvlJc w:val="left"/>
      <w:pPr>
        <w:tabs>
          <w:tab w:val="num" w:pos="1080"/>
        </w:tabs>
        <w:ind w:left="0" w:firstLine="720"/>
      </w:pPr>
      <w:rPr>
        <w:u w:val="none"/>
      </w:rPr>
    </w:lvl>
    <w:lvl w:ilvl="1">
      <w:start w:val="1"/>
      <w:numFmt w:val="lowerLetter"/>
      <w:pStyle w:val="ExFH2"/>
      <w:lvlText w:val="(%2)"/>
      <w:lvlJc w:val="left"/>
      <w:pPr>
        <w:tabs>
          <w:tab w:val="num" w:pos="1800"/>
        </w:tabs>
        <w:ind w:left="0" w:firstLine="1440"/>
      </w:pPr>
      <w:rPr>
        <w:u w:val="none"/>
      </w:rPr>
    </w:lvl>
    <w:lvl w:ilvl="2">
      <w:start w:val="1"/>
      <w:numFmt w:val="lowerRoman"/>
      <w:pStyle w:val="ExFH3"/>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2">
    <w:nsid w:val="47473880"/>
    <w:multiLevelType w:val="multilevel"/>
    <w:tmpl w:val="08CA864C"/>
    <w:lvl w:ilvl="0">
      <w:start w:val="1"/>
      <w:numFmt w:val="decimal"/>
      <w:suff w:val="nothing"/>
      <w:lvlText w:val="Section %1"/>
      <w:lvlJc w:val="left"/>
      <w:pPr>
        <w:ind w:left="0" w:firstLine="0"/>
      </w:pPr>
      <w:rPr>
        <w:rFonts w:hint="default"/>
        <w:b/>
        <w:i w:val="0"/>
        <w:caps/>
        <w:u w:val="none"/>
      </w:rPr>
    </w:lvl>
    <w:lvl w:ilvl="1">
      <w:start w:val="1"/>
      <w:numFmt w:val="decimal"/>
      <w:isLgl/>
      <w:lvlText w:val="%1.%2"/>
      <w:lvlJc w:val="left"/>
      <w:pPr>
        <w:tabs>
          <w:tab w:val="num" w:pos="1080"/>
        </w:tabs>
        <w:ind w:left="0" w:firstLine="720"/>
      </w:pPr>
      <w:rPr>
        <w:rFonts w:hint="default"/>
        <w:u w:val="none"/>
      </w:rPr>
    </w:lvl>
    <w:lvl w:ilvl="2">
      <w:start w:val="1"/>
      <w:numFmt w:val="lowerLetter"/>
      <w:lvlText w:val="(%3)"/>
      <w:lvlJc w:val="left"/>
      <w:pPr>
        <w:tabs>
          <w:tab w:val="num" w:pos="1800"/>
        </w:tabs>
        <w:ind w:left="0" w:firstLine="1440"/>
      </w:pPr>
      <w:rPr>
        <w:rFonts w:hint="default"/>
        <w:u w:val="none"/>
      </w:rPr>
    </w:lvl>
    <w:lvl w:ilvl="3">
      <w:start w:val="1"/>
      <w:numFmt w:val="lowerRoman"/>
      <w:lvlText w:val="(%4)"/>
      <w:lvlJc w:val="right"/>
      <w:pPr>
        <w:tabs>
          <w:tab w:val="num" w:pos="2880"/>
        </w:tabs>
        <w:ind w:left="0" w:firstLine="2520"/>
      </w:pPr>
      <w:rPr>
        <w:rFonts w:hint="default"/>
        <w:u w:val="none"/>
      </w:rPr>
    </w:lvl>
    <w:lvl w:ilvl="4">
      <w:start w:val="1"/>
      <w:numFmt w:val="decimal"/>
      <w:lvlText w:val="(%5)"/>
      <w:lvlJc w:val="left"/>
      <w:pPr>
        <w:tabs>
          <w:tab w:val="num" w:pos="3240"/>
        </w:tabs>
        <w:ind w:left="0" w:firstLine="2880"/>
      </w:pPr>
      <w:rPr>
        <w:rFonts w:hint="default"/>
        <w:u w:val="none"/>
      </w:rPr>
    </w:lvl>
    <w:lvl w:ilvl="5">
      <w:start w:val="1"/>
      <w:numFmt w:val="lowerLetter"/>
      <w:lvlText w:val="%6)"/>
      <w:lvlJc w:val="left"/>
      <w:pPr>
        <w:tabs>
          <w:tab w:val="num" w:pos="3960"/>
        </w:tabs>
        <w:ind w:left="0" w:firstLine="3600"/>
      </w:pPr>
      <w:rPr>
        <w:rFonts w:hint="default"/>
        <w:u w:val="none"/>
      </w:rPr>
    </w:lvl>
    <w:lvl w:ilvl="6">
      <w:start w:val="1"/>
      <w:numFmt w:val="lowerRoman"/>
      <w:lvlText w:val="%7)"/>
      <w:lvlJc w:val="right"/>
      <w:pPr>
        <w:tabs>
          <w:tab w:val="num" w:pos="5040"/>
        </w:tabs>
        <w:ind w:left="0" w:firstLine="4680"/>
      </w:pPr>
      <w:rPr>
        <w:rFonts w:hint="default"/>
        <w:u w:val="none"/>
      </w:rPr>
    </w:lvl>
    <w:lvl w:ilvl="7">
      <w:start w:val="1"/>
      <w:numFmt w:val="decimal"/>
      <w:lvlText w:val="%8)"/>
      <w:lvlJc w:val="left"/>
      <w:pPr>
        <w:tabs>
          <w:tab w:val="num" w:pos="5400"/>
        </w:tabs>
        <w:ind w:left="0" w:firstLine="5040"/>
      </w:pPr>
      <w:rPr>
        <w:rFonts w:hint="default"/>
        <w:u w:val="none"/>
      </w:rPr>
    </w:lvl>
    <w:lvl w:ilvl="8">
      <w:start w:val="1"/>
      <w:numFmt w:val="lowerRoman"/>
      <w:lvlText w:val="%9."/>
      <w:lvlJc w:val="right"/>
      <w:pPr>
        <w:tabs>
          <w:tab w:val="num" w:pos="1584"/>
        </w:tabs>
        <w:ind w:left="1584" w:hanging="144"/>
      </w:pPr>
      <w:rPr>
        <w:rFonts w:hint="default"/>
        <w:u w:val="none"/>
      </w:rPr>
    </w:lvl>
  </w:abstractNum>
  <w:abstractNum w:abstractNumId="13">
    <w:nsid w:val="4A637830"/>
    <w:multiLevelType w:val="multilevel"/>
    <w:tmpl w:val="E15E6F24"/>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4">
    <w:nsid w:val="52350AC0"/>
    <w:multiLevelType w:val="multilevel"/>
    <w:tmpl w:val="5C4EA100"/>
    <w:lvl w:ilvl="0">
      <w:start w:val="1"/>
      <w:numFmt w:val="decimal"/>
      <w:suff w:val="nothing"/>
      <w:lvlText w:val="SECTION %1"/>
      <w:lvlJc w:val="left"/>
      <w:pPr>
        <w:ind w:left="0" w:firstLine="0"/>
      </w:pPr>
      <w:rPr>
        <w:rFonts w:hint="default"/>
        <w:b/>
        <w:i w:val="0"/>
        <w:u w:val="none"/>
      </w:rPr>
    </w:lvl>
    <w:lvl w:ilvl="1">
      <w:start w:val="1"/>
      <w:numFmt w:val="decimal"/>
      <w:isLgl/>
      <w:lvlText w:val="%1.%2"/>
      <w:lvlJc w:val="left"/>
      <w:pPr>
        <w:tabs>
          <w:tab w:val="num" w:pos="1080"/>
        </w:tabs>
        <w:ind w:left="0" w:firstLine="720"/>
      </w:pPr>
      <w:rPr>
        <w:rFonts w:hint="default"/>
        <w:u w:val="none"/>
      </w:rPr>
    </w:lvl>
    <w:lvl w:ilvl="2">
      <w:start w:val="1"/>
      <w:numFmt w:val="lowerLetter"/>
      <w:lvlText w:val="(%3)"/>
      <w:lvlJc w:val="left"/>
      <w:pPr>
        <w:tabs>
          <w:tab w:val="num" w:pos="1800"/>
        </w:tabs>
        <w:ind w:left="0" w:firstLine="1440"/>
      </w:pPr>
      <w:rPr>
        <w:rFonts w:hint="default"/>
        <w:u w:val="none"/>
      </w:rPr>
    </w:lvl>
    <w:lvl w:ilvl="3">
      <w:start w:val="1"/>
      <w:numFmt w:val="lowerRoman"/>
      <w:lvlText w:val="(%4)"/>
      <w:lvlJc w:val="right"/>
      <w:pPr>
        <w:tabs>
          <w:tab w:val="num" w:pos="2880"/>
        </w:tabs>
        <w:ind w:left="0" w:firstLine="2520"/>
      </w:pPr>
      <w:rPr>
        <w:rFonts w:hint="default"/>
        <w:u w:val="none"/>
      </w:rPr>
    </w:lvl>
    <w:lvl w:ilvl="4">
      <w:start w:val="1"/>
      <w:numFmt w:val="decimal"/>
      <w:lvlText w:val="(%5)"/>
      <w:lvlJc w:val="left"/>
      <w:pPr>
        <w:tabs>
          <w:tab w:val="num" w:pos="3240"/>
        </w:tabs>
        <w:ind w:left="0" w:firstLine="2880"/>
      </w:pPr>
      <w:rPr>
        <w:rFonts w:hint="default"/>
        <w:u w:val="none"/>
      </w:rPr>
    </w:lvl>
    <w:lvl w:ilvl="5">
      <w:start w:val="1"/>
      <w:numFmt w:val="lowerLetter"/>
      <w:lvlText w:val="%6)"/>
      <w:lvlJc w:val="left"/>
      <w:pPr>
        <w:tabs>
          <w:tab w:val="num" w:pos="3960"/>
        </w:tabs>
        <w:ind w:left="0" w:firstLine="3600"/>
      </w:pPr>
      <w:rPr>
        <w:rFonts w:hint="default"/>
        <w:u w:val="none"/>
      </w:rPr>
    </w:lvl>
    <w:lvl w:ilvl="6">
      <w:start w:val="1"/>
      <w:numFmt w:val="lowerRoman"/>
      <w:lvlText w:val="%7)"/>
      <w:lvlJc w:val="right"/>
      <w:pPr>
        <w:tabs>
          <w:tab w:val="num" w:pos="5040"/>
        </w:tabs>
        <w:ind w:left="0" w:firstLine="4680"/>
      </w:pPr>
      <w:rPr>
        <w:rFonts w:hint="default"/>
        <w:u w:val="none"/>
      </w:rPr>
    </w:lvl>
    <w:lvl w:ilvl="7">
      <w:start w:val="1"/>
      <w:numFmt w:val="decimal"/>
      <w:lvlText w:val="%8)"/>
      <w:lvlJc w:val="left"/>
      <w:pPr>
        <w:tabs>
          <w:tab w:val="num" w:pos="5400"/>
        </w:tabs>
        <w:ind w:left="0" w:firstLine="5040"/>
      </w:pPr>
      <w:rPr>
        <w:rFonts w:hint="default"/>
        <w:u w:val="none"/>
      </w:rPr>
    </w:lvl>
    <w:lvl w:ilvl="8">
      <w:start w:val="1"/>
      <w:numFmt w:val="lowerRoman"/>
      <w:lvlText w:val="%9."/>
      <w:lvlJc w:val="right"/>
      <w:pPr>
        <w:tabs>
          <w:tab w:val="num" w:pos="1584"/>
        </w:tabs>
        <w:ind w:left="1584" w:hanging="144"/>
      </w:pPr>
      <w:rPr>
        <w:rFonts w:hint="default"/>
        <w:u w:val="none"/>
      </w:rPr>
    </w:lvl>
  </w:abstractNum>
  <w:abstractNum w:abstractNumId="15">
    <w:nsid w:val="5C1552D8"/>
    <w:multiLevelType w:val="multilevel"/>
    <w:tmpl w:val="DFD4726E"/>
    <w:lvl w:ilvl="0">
      <w:start w:val="1"/>
      <w:numFmt w:val="decimal"/>
      <w:pStyle w:val="ExBH1"/>
      <w:lvlText w:val="%1."/>
      <w:lvlJc w:val="left"/>
      <w:pPr>
        <w:tabs>
          <w:tab w:val="num" w:pos="1080"/>
        </w:tabs>
        <w:ind w:left="0" w:firstLine="720"/>
      </w:pPr>
      <w:rPr>
        <w:u w:val="none"/>
      </w:rPr>
    </w:lvl>
    <w:lvl w:ilvl="1">
      <w:start w:val="1"/>
      <w:numFmt w:val="lowerLetter"/>
      <w:pStyle w:val="ExBH2"/>
      <w:lvlText w:val="(%2)"/>
      <w:lvlJc w:val="left"/>
      <w:pPr>
        <w:tabs>
          <w:tab w:val="num" w:pos="1800"/>
        </w:tabs>
        <w:ind w:left="0" w:firstLine="1440"/>
      </w:pPr>
      <w:rPr>
        <w:u w:val="none"/>
      </w:rPr>
    </w:lvl>
    <w:lvl w:ilvl="2">
      <w:start w:val="1"/>
      <w:numFmt w:val="lowerRoman"/>
      <w:pStyle w:val="ExBH3"/>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none"/>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6">
    <w:nsid w:val="73C93193"/>
    <w:multiLevelType w:val="singleLevel"/>
    <w:tmpl w:val="F074393C"/>
    <w:lvl w:ilvl="0">
      <w:start w:val="1"/>
      <w:numFmt w:val="bullet"/>
      <w:lvlText w:val="•"/>
      <w:lvlJc w:val="left"/>
      <w:pPr>
        <w:tabs>
          <w:tab w:val="num" w:pos="360"/>
        </w:tabs>
        <w:ind w:left="360" w:hanging="360"/>
      </w:pPr>
      <w:rPr>
        <w:rFonts w:ascii="Times New Roman" w:hAnsi="Times New Roman" w:hint="default"/>
        <w:sz w:val="20"/>
      </w:rPr>
    </w:lvl>
  </w:abstractNum>
  <w:num w:numId="1">
    <w:abstractNumId w:val="3"/>
  </w:num>
  <w:num w:numId="2">
    <w:abstractNumId w:val="5"/>
  </w:num>
  <w:num w:numId="3">
    <w:abstractNumId w:val="5"/>
  </w:num>
  <w:num w:numId="4">
    <w:abstractNumId w:val="5"/>
  </w:num>
  <w:num w:numId="5">
    <w:abstractNumId w:val="5"/>
  </w:num>
  <w:num w:numId="6">
    <w:abstractNumId w:val="5"/>
  </w:num>
  <w:num w:numId="7">
    <w:abstractNumId w:val="9"/>
  </w:num>
  <w:num w:numId="8">
    <w:abstractNumId w:val="9"/>
  </w:num>
  <w:num w:numId="9">
    <w:abstractNumId w:val="9"/>
  </w:num>
  <w:num w:numId="10">
    <w:abstractNumId w:val="9"/>
  </w:num>
  <w:num w:numId="11">
    <w:abstractNumId w:val="9"/>
  </w:num>
  <w:num w:numId="12">
    <w:abstractNumId w:val="16"/>
  </w:num>
  <w:num w:numId="13">
    <w:abstractNumId w:val="13"/>
  </w:num>
  <w:num w:numId="14">
    <w:abstractNumId w:val="0"/>
  </w:num>
  <w:num w:numId="15">
    <w:abstractNumId w:val="6"/>
  </w:num>
  <w:num w:numId="16">
    <w:abstractNumId w:val="10"/>
  </w:num>
  <w:num w:numId="17">
    <w:abstractNumId w:val="7"/>
  </w:num>
  <w:num w:numId="18">
    <w:abstractNumId w:val="15"/>
  </w:num>
  <w:num w:numId="19">
    <w:abstractNumId w:val="15"/>
  </w:num>
  <w:num w:numId="20">
    <w:abstractNumId w:val="15"/>
  </w:num>
  <w:num w:numId="21">
    <w:abstractNumId w:val="2"/>
  </w:num>
  <w:num w:numId="22">
    <w:abstractNumId w:val="2"/>
  </w:num>
  <w:num w:numId="23">
    <w:abstractNumId w:val="2"/>
  </w:num>
  <w:num w:numId="24">
    <w:abstractNumId w:val="1"/>
  </w:num>
  <w:num w:numId="25">
    <w:abstractNumId w:val="1"/>
  </w:num>
  <w:num w:numId="26">
    <w:abstractNumId w:val="1"/>
  </w:num>
  <w:num w:numId="27">
    <w:abstractNumId w:val="8"/>
  </w:num>
  <w:num w:numId="28">
    <w:abstractNumId w:val="8"/>
  </w:num>
  <w:num w:numId="29">
    <w:abstractNumId w:val="8"/>
  </w:num>
  <w:num w:numId="30">
    <w:abstractNumId w:val="11"/>
  </w:num>
  <w:num w:numId="31">
    <w:abstractNumId w:val="11"/>
  </w:num>
  <w:num w:numId="32">
    <w:abstractNumId w:val="11"/>
  </w:num>
  <w:num w:numId="33">
    <w:abstractNumId w:val="7"/>
  </w:num>
  <w:num w:numId="34">
    <w:abstractNumId w:val="7"/>
  </w:num>
  <w:num w:numId="35">
    <w:abstractNumId w:val="7"/>
  </w:num>
  <w:num w:numId="36">
    <w:abstractNumId w:val="4"/>
  </w:num>
  <w:num w:numId="37">
    <w:abstractNumId w:val="4"/>
  </w:num>
  <w:num w:numId="38">
    <w:abstractNumId w:val="4"/>
  </w:num>
  <w:num w:numId="39">
    <w:abstractNumId w:val="14"/>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860"/>
    <w:rsid w:val="0000346E"/>
    <w:rsid w:val="00030FCD"/>
    <w:rsid w:val="00033FDB"/>
    <w:rsid w:val="00071339"/>
    <w:rsid w:val="0007283C"/>
    <w:rsid w:val="00076FD1"/>
    <w:rsid w:val="00081D79"/>
    <w:rsid w:val="00086715"/>
    <w:rsid w:val="000A361B"/>
    <w:rsid w:val="000B1628"/>
    <w:rsid w:val="000B5C2A"/>
    <w:rsid w:val="000B6E16"/>
    <w:rsid w:val="000C17B3"/>
    <w:rsid w:val="000C20AC"/>
    <w:rsid w:val="000C3CBA"/>
    <w:rsid w:val="000C591C"/>
    <w:rsid w:val="000D0586"/>
    <w:rsid w:val="000D497F"/>
    <w:rsid w:val="000D6D1C"/>
    <w:rsid w:val="000E6901"/>
    <w:rsid w:val="001068BE"/>
    <w:rsid w:val="00132342"/>
    <w:rsid w:val="00137C2E"/>
    <w:rsid w:val="00137EAC"/>
    <w:rsid w:val="00171EB9"/>
    <w:rsid w:val="001A5465"/>
    <w:rsid w:val="001B1531"/>
    <w:rsid w:val="001B52D6"/>
    <w:rsid w:val="001C33D5"/>
    <w:rsid w:val="001C3C46"/>
    <w:rsid w:val="001D6169"/>
    <w:rsid w:val="00203C5C"/>
    <w:rsid w:val="0020793B"/>
    <w:rsid w:val="00220CE8"/>
    <w:rsid w:val="002479B0"/>
    <w:rsid w:val="00247A7D"/>
    <w:rsid w:val="002769AC"/>
    <w:rsid w:val="00296D34"/>
    <w:rsid w:val="002D50F7"/>
    <w:rsid w:val="002D5859"/>
    <w:rsid w:val="002E184A"/>
    <w:rsid w:val="002F1BEA"/>
    <w:rsid w:val="002F3719"/>
    <w:rsid w:val="0032130C"/>
    <w:rsid w:val="00327C9F"/>
    <w:rsid w:val="0034216F"/>
    <w:rsid w:val="003575C0"/>
    <w:rsid w:val="00386AF2"/>
    <w:rsid w:val="00392881"/>
    <w:rsid w:val="0039715C"/>
    <w:rsid w:val="003A5085"/>
    <w:rsid w:val="003B5D1D"/>
    <w:rsid w:val="003B6045"/>
    <w:rsid w:val="003C5CBF"/>
    <w:rsid w:val="003C757A"/>
    <w:rsid w:val="003E6A2B"/>
    <w:rsid w:val="003F2EDE"/>
    <w:rsid w:val="003F5235"/>
    <w:rsid w:val="004120C8"/>
    <w:rsid w:val="00412B0F"/>
    <w:rsid w:val="00416F12"/>
    <w:rsid w:val="004244FB"/>
    <w:rsid w:val="00435356"/>
    <w:rsid w:val="00440BFB"/>
    <w:rsid w:val="0044426F"/>
    <w:rsid w:val="00457BFC"/>
    <w:rsid w:val="00472D4A"/>
    <w:rsid w:val="004A2B4C"/>
    <w:rsid w:val="004C3FC2"/>
    <w:rsid w:val="004D1FB4"/>
    <w:rsid w:val="004F7A01"/>
    <w:rsid w:val="004F7ED5"/>
    <w:rsid w:val="00515D56"/>
    <w:rsid w:val="005224EA"/>
    <w:rsid w:val="00525F34"/>
    <w:rsid w:val="0052659F"/>
    <w:rsid w:val="00531946"/>
    <w:rsid w:val="005407EB"/>
    <w:rsid w:val="0055352E"/>
    <w:rsid w:val="0056054F"/>
    <w:rsid w:val="0056721C"/>
    <w:rsid w:val="00573D04"/>
    <w:rsid w:val="00582F55"/>
    <w:rsid w:val="00590729"/>
    <w:rsid w:val="00594A8B"/>
    <w:rsid w:val="005B38B9"/>
    <w:rsid w:val="005C25EC"/>
    <w:rsid w:val="005C3339"/>
    <w:rsid w:val="005C7E85"/>
    <w:rsid w:val="005D7A4C"/>
    <w:rsid w:val="005E12A0"/>
    <w:rsid w:val="005E5E01"/>
    <w:rsid w:val="0060665C"/>
    <w:rsid w:val="006100A8"/>
    <w:rsid w:val="006107C3"/>
    <w:rsid w:val="00625885"/>
    <w:rsid w:val="006316E1"/>
    <w:rsid w:val="00637D5C"/>
    <w:rsid w:val="00656C41"/>
    <w:rsid w:val="00674491"/>
    <w:rsid w:val="00695121"/>
    <w:rsid w:val="006B1568"/>
    <w:rsid w:val="006D4DD3"/>
    <w:rsid w:val="006D5A8E"/>
    <w:rsid w:val="006E08BC"/>
    <w:rsid w:val="006E43D4"/>
    <w:rsid w:val="006F1502"/>
    <w:rsid w:val="006F2B77"/>
    <w:rsid w:val="00712C81"/>
    <w:rsid w:val="00724E9F"/>
    <w:rsid w:val="00755A06"/>
    <w:rsid w:val="007608BE"/>
    <w:rsid w:val="00780398"/>
    <w:rsid w:val="0079527D"/>
    <w:rsid w:val="007A23AA"/>
    <w:rsid w:val="007A6177"/>
    <w:rsid w:val="007C4AD4"/>
    <w:rsid w:val="007D0AF6"/>
    <w:rsid w:val="007D10A9"/>
    <w:rsid w:val="007D464C"/>
    <w:rsid w:val="007D71B4"/>
    <w:rsid w:val="008011CA"/>
    <w:rsid w:val="00823284"/>
    <w:rsid w:val="00827D2D"/>
    <w:rsid w:val="00852F04"/>
    <w:rsid w:val="008616E8"/>
    <w:rsid w:val="008652C7"/>
    <w:rsid w:val="008712B7"/>
    <w:rsid w:val="00877336"/>
    <w:rsid w:val="00880EA7"/>
    <w:rsid w:val="008925A6"/>
    <w:rsid w:val="0089402B"/>
    <w:rsid w:val="008B2869"/>
    <w:rsid w:val="008B3017"/>
    <w:rsid w:val="008B730D"/>
    <w:rsid w:val="008C49F6"/>
    <w:rsid w:val="008D01CA"/>
    <w:rsid w:val="008E0AC4"/>
    <w:rsid w:val="008F2CEC"/>
    <w:rsid w:val="00904602"/>
    <w:rsid w:val="009105F5"/>
    <w:rsid w:val="00910AED"/>
    <w:rsid w:val="00930913"/>
    <w:rsid w:val="00933FEF"/>
    <w:rsid w:val="00953F80"/>
    <w:rsid w:val="00955277"/>
    <w:rsid w:val="00975EED"/>
    <w:rsid w:val="00981E5F"/>
    <w:rsid w:val="009921DC"/>
    <w:rsid w:val="00993D0A"/>
    <w:rsid w:val="009A0FA9"/>
    <w:rsid w:val="009A66EC"/>
    <w:rsid w:val="009C17D7"/>
    <w:rsid w:val="009C739C"/>
    <w:rsid w:val="009D66C3"/>
    <w:rsid w:val="009E6E0C"/>
    <w:rsid w:val="009F2C2C"/>
    <w:rsid w:val="00A02EE3"/>
    <w:rsid w:val="00A03847"/>
    <w:rsid w:val="00A06A5A"/>
    <w:rsid w:val="00A4087F"/>
    <w:rsid w:val="00A45ED0"/>
    <w:rsid w:val="00A646A7"/>
    <w:rsid w:val="00A6531C"/>
    <w:rsid w:val="00AB4124"/>
    <w:rsid w:val="00AB7312"/>
    <w:rsid w:val="00AC0A21"/>
    <w:rsid w:val="00AD26E4"/>
    <w:rsid w:val="00AE415B"/>
    <w:rsid w:val="00AF030D"/>
    <w:rsid w:val="00B02DFA"/>
    <w:rsid w:val="00B11FB5"/>
    <w:rsid w:val="00B14D9D"/>
    <w:rsid w:val="00B15A1A"/>
    <w:rsid w:val="00B2424C"/>
    <w:rsid w:val="00B42421"/>
    <w:rsid w:val="00B51D92"/>
    <w:rsid w:val="00B575C6"/>
    <w:rsid w:val="00B80777"/>
    <w:rsid w:val="00B82468"/>
    <w:rsid w:val="00B8644B"/>
    <w:rsid w:val="00B874FE"/>
    <w:rsid w:val="00B9152D"/>
    <w:rsid w:val="00BA1376"/>
    <w:rsid w:val="00BA6CCC"/>
    <w:rsid w:val="00BB30C2"/>
    <w:rsid w:val="00BE7990"/>
    <w:rsid w:val="00BE7D60"/>
    <w:rsid w:val="00C01218"/>
    <w:rsid w:val="00C03860"/>
    <w:rsid w:val="00C06D6A"/>
    <w:rsid w:val="00C07F47"/>
    <w:rsid w:val="00C10F2C"/>
    <w:rsid w:val="00C13067"/>
    <w:rsid w:val="00C132A5"/>
    <w:rsid w:val="00C25664"/>
    <w:rsid w:val="00C33C02"/>
    <w:rsid w:val="00C344FD"/>
    <w:rsid w:val="00C35A71"/>
    <w:rsid w:val="00C47175"/>
    <w:rsid w:val="00C53A35"/>
    <w:rsid w:val="00C57931"/>
    <w:rsid w:val="00C63A35"/>
    <w:rsid w:val="00C81280"/>
    <w:rsid w:val="00CA4CB7"/>
    <w:rsid w:val="00CC6750"/>
    <w:rsid w:val="00CC6903"/>
    <w:rsid w:val="00CE3C11"/>
    <w:rsid w:val="00CF08B7"/>
    <w:rsid w:val="00CF1F40"/>
    <w:rsid w:val="00D16EC9"/>
    <w:rsid w:val="00D41E83"/>
    <w:rsid w:val="00D420E7"/>
    <w:rsid w:val="00D43E80"/>
    <w:rsid w:val="00D52144"/>
    <w:rsid w:val="00D670E7"/>
    <w:rsid w:val="00D70176"/>
    <w:rsid w:val="00D815F0"/>
    <w:rsid w:val="00DA534C"/>
    <w:rsid w:val="00DB4068"/>
    <w:rsid w:val="00DD0805"/>
    <w:rsid w:val="00DF6642"/>
    <w:rsid w:val="00E0080F"/>
    <w:rsid w:val="00E24398"/>
    <w:rsid w:val="00E25F45"/>
    <w:rsid w:val="00E40284"/>
    <w:rsid w:val="00E43399"/>
    <w:rsid w:val="00E450D9"/>
    <w:rsid w:val="00E45384"/>
    <w:rsid w:val="00E52112"/>
    <w:rsid w:val="00E55127"/>
    <w:rsid w:val="00E55721"/>
    <w:rsid w:val="00E57613"/>
    <w:rsid w:val="00E63A79"/>
    <w:rsid w:val="00E65195"/>
    <w:rsid w:val="00E74059"/>
    <w:rsid w:val="00E975DE"/>
    <w:rsid w:val="00EB248B"/>
    <w:rsid w:val="00EC4DFF"/>
    <w:rsid w:val="00EC618F"/>
    <w:rsid w:val="00EF02CC"/>
    <w:rsid w:val="00F04513"/>
    <w:rsid w:val="00F04AFA"/>
    <w:rsid w:val="00F04D9E"/>
    <w:rsid w:val="00F151A9"/>
    <w:rsid w:val="00F21406"/>
    <w:rsid w:val="00F23B5F"/>
    <w:rsid w:val="00F2753E"/>
    <w:rsid w:val="00F44F77"/>
    <w:rsid w:val="00F617A3"/>
    <w:rsid w:val="00F72665"/>
    <w:rsid w:val="00F84DD0"/>
    <w:rsid w:val="00F90EA4"/>
    <w:rsid w:val="00F956D5"/>
    <w:rsid w:val="00FB591B"/>
    <w:rsid w:val="00FC0406"/>
    <w:rsid w:val="00FC7276"/>
    <w:rsid w:val="00FE10DF"/>
    <w:rsid w:val="00FF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ind w:firstLine="720"/>
    </w:pPr>
    <w:rPr>
      <w:sz w:val="24"/>
    </w:rPr>
  </w:style>
  <w:style w:type="paragraph" w:styleId="Heading1">
    <w:name w:val="heading 1"/>
    <w:basedOn w:val="Normal"/>
    <w:next w:val="Normal"/>
    <w:qFormat/>
    <w:rsid w:val="003F2EDE"/>
    <w:pPr>
      <w:numPr>
        <w:numId w:val="1"/>
      </w:numPr>
      <w:spacing w:line="480" w:lineRule="auto"/>
      <w:jc w:val="center"/>
      <w:outlineLvl w:val="0"/>
    </w:pPr>
    <w:rPr>
      <w:kern w:val="28"/>
    </w:rPr>
  </w:style>
  <w:style w:type="paragraph" w:styleId="Heading2">
    <w:name w:val="heading 2"/>
    <w:basedOn w:val="Normal"/>
    <w:next w:val="Normal"/>
    <w:qFormat/>
    <w:rsid w:val="003F2EDE"/>
    <w:pPr>
      <w:numPr>
        <w:ilvl w:val="1"/>
        <w:numId w:val="1"/>
      </w:numPr>
      <w:outlineLvl w:val="1"/>
    </w:pPr>
  </w:style>
  <w:style w:type="paragraph" w:styleId="Heading3">
    <w:name w:val="heading 3"/>
    <w:basedOn w:val="Normal"/>
    <w:next w:val="Normal"/>
    <w:qFormat/>
    <w:rsid w:val="003F2EDE"/>
    <w:pPr>
      <w:numPr>
        <w:ilvl w:val="2"/>
        <w:numId w:val="1"/>
      </w:numPr>
      <w:tabs>
        <w:tab w:val="clear" w:pos="1800"/>
      </w:tabs>
      <w:outlineLvl w:val="2"/>
    </w:pPr>
  </w:style>
  <w:style w:type="paragraph" w:styleId="Heading4">
    <w:name w:val="heading 4"/>
    <w:basedOn w:val="Normal"/>
    <w:next w:val="Normal"/>
    <w:qFormat/>
    <w:rsid w:val="003F2EDE"/>
    <w:pPr>
      <w:numPr>
        <w:ilvl w:val="3"/>
        <w:numId w:val="1"/>
      </w:numPr>
      <w:tabs>
        <w:tab w:val="clear" w:pos="2880"/>
      </w:tabs>
      <w:outlineLvl w:val="3"/>
    </w:pPr>
  </w:style>
  <w:style w:type="paragraph" w:styleId="Heading5">
    <w:name w:val="heading 5"/>
    <w:basedOn w:val="Normal"/>
    <w:next w:val="Normal"/>
    <w:qFormat/>
    <w:rsid w:val="003F2EDE"/>
    <w:pPr>
      <w:numPr>
        <w:ilvl w:val="4"/>
        <w:numId w:val="1"/>
      </w:numPr>
      <w:tabs>
        <w:tab w:val="clear" w:pos="3240"/>
      </w:tabs>
      <w:outlineLvl w:val="4"/>
    </w:pPr>
  </w:style>
  <w:style w:type="paragraph" w:styleId="Heading6">
    <w:name w:val="heading 6"/>
    <w:basedOn w:val="Normal"/>
    <w:next w:val="Normal"/>
    <w:qFormat/>
    <w:rsid w:val="003F2EDE"/>
    <w:pPr>
      <w:numPr>
        <w:ilvl w:val="5"/>
        <w:numId w:val="1"/>
      </w:numPr>
      <w:tabs>
        <w:tab w:val="clear" w:pos="3960"/>
      </w:tabs>
      <w:outlineLvl w:val="5"/>
    </w:pPr>
  </w:style>
  <w:style w:type="paragraph" w:styleId="Heading7">
    <w:name w:val="heading 7"/>
    <w:basedOn w:val="Normal"/>
    <w:next w:val="Normal"/>
    <w:qFormat/>
    <w:rsid w:val="003F2EDE"/>
    <w:pPr>
      <w:numPr>
        <w:ilvl w:val="6"/>
        <w:numId w:val="1"/>
      </w:numPr>
      <w:tabs>
        <w:tab w:val="clear" w:pos="5040"/>
      </w:tabs>
      <w:outlineLvl w:val="6"/>
    </w:pPr>
  </w:style>
  <w:style w:type="paragraph" w:styleId="Heading8">
    <w:name w:val="heading 8"/>
    <w:basedOn w:val="Normal"/>
    <w:next w:val="Normal"/>
    <w:qFormat/>
    <w:rsid w:val="003F2EDE"/>
    <w:pPr>
      <w:numPr>
        <w:ilvl w:val="7"/>
        <w:numId w:val="1"/>
      </w:numPr>
      <w:tabs>
        <w:tab w:val="clear" w:pos="5400"/>
      </w:tabs>
      <w:outlineLvl w:val="7"/>
    </w:pPr>
  </w:style>
  <w:style w:type="paragraph" w:styleId="Heading9">
    <w:name w:val="heading 9"/>
    <w:basedOn w:val="Normal"/>
    <w:next w:val="Normal"/>
    <w:qFormat/>
    <w:rsid w:val="003F2EDE"/>
    <w:pPr>
      <w:numPr>
        <w:ilvl w:val="8"/>
        <w:numId w:val="1"/>
      </w:numPr>
      <w:spacing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rsid w:val="003F2EDE"/>
    <w:pPr>
      <w:keepNext/>
      <w:widowControl w:val="0"/>
      <w:tabs>
        <w:tab w:val="left" w:pos="720"/>
        <w:tab w:val="right" w:leader="dot" w:pos="9706"/>
      </w:tabs>
      <w:spacing w:before="120" w:after="120"/>
      <w:ind w:left="720" w:right="720" w:hanging="720"/>
    </w:pPr>
    <w:rPr>
      <w:caps/>
      <w:noProof/>
      <w:snapToGrid w:val="0"/>
      <w:szCs w:val="24"/>
    </w:rPr>
  </w:style>
  <w:style w:type="paragraph" w:styleId="TOC2">
    <w:name w:val="toc 2"/>
    <w:basedOn w:val="Normal"/>
    <w:next w:val="Normal"/>
    <w:rsid w:val="0052659F"/>
    <w:pPr>
      <w:widowControl w:val="0"/>
      <w:tabs>
        <w:tab w:val="left" w:pos="1440"/>
        <w:tab w:val="right" w:leader="dot" w:pos="9706"/>
      </w:tabs>
      <w:spacing w:before="0"/>
      <w:ind w:left="1440" w:right="720" w:hanging="720"/>
    </w:pPr>
    <w:rPr>
      <w:noProof/>
      <w:snapToGrid w:val="0"/>
      <w:szCs w:val="24"/>
    </w:rPr>
  </w:style>
  <w:style w:type="character" w:styleId="PageNumber">
    <w:name w:val="page number"/>
    <w:rPr>
      <w:rFonts w:ascii="Times New Roman" w:hAnsi="Times New Roman"/>
      <w:sz w:val="24"/>
      <w:lang w:val="en-US"/>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lang w:val="en-US"/>
    </w:rPr>
  </w:style>
  <w:style w:type="paragraph" w:customStyle="1" w:styleId="CenterTextBold">
    <w:name w:val="Center Text Bold"/>
    <w:basedOn w:val="CenterText"/>
    <w:next w:val="Normal"/>
    <w:rPr>
      <w:b/>
    </w:rPr>
  </w:style>
  <w:style w:type="paragraph" w:styleId="CommentText">
    <w:name w:val="annotation text"/>
    <w:basedOn w:val="Normal"/>
    <w:semiHidden/>
    <w:rPr>
      <w:sz w:val="20"/>
    </w:rPr>
  </w:style>
  <w:style w:type="paragraph" w:customStyle="1" w:styleId="CenterText">
    <w:name w:val="Center Text"/>
    <w:basedOn w:val="Normal"/>
    <w:next w:val="Normal"/>
    <w:pPr>
      <w:ind w:firstLine="0"/>
      <w:jc w:val="center"/>
    </w:p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080"/>
      </w:tabs>
    </w:pPr>
  </w:style>
  <w:style w:type="paragraph" w:customStyle="1" w:styleId="Def2Heading2">
    <w:name w:val="Def2 Heading 2"/>
    <w:basedOn w:val="Normal"/>
    <w:next w:val="Normal"/>
    <w:pPr>
      <w:numPr>
        <w:ilvl w:val="1"/>
        <w:numId w:val="3"/>
      </w:numPr>
      <w:tabs>
        <w:tab w:val="clear" w:pos="1800"/>
      </w:tabs>
    </w:pPr>
  </w:style>
  <w:style w:type="paragraph" w:customStyle="1" w:styleId="Def2Heading3">
    <w:name w:val="Def2 Heading 3"/>
    <w:basedOn w:val="Normal"/>
    <w:next w:val="Normal"/>
    <w:pPr>
      <w:numPr>
        <w:ilvl w:val="2"/>
        <w:numId w:val="4"/>
      </w:numPr>
      <w:tabs>
        <w:tab w:val="clear" w:pos="2880"/>
      </w:tabs>
    </w:pPr>
  </w:style>
  <w:style w:type="paragraph" w:customStyle="1" w:styleId="Def2Heading4">
    <w:name w:val="Def2 Heading 4"/>
    <w:basedOn w:val="Normal"/>
    <w:next w:val="Normal"/>
    <w:pPr>
      <w:numPr>
        <w:ilvl w:val="3"/>
        <w:numId w:val="5"/>
      </w:numPr>
      <w:tabs>
        <w:tab w:val="clear" w:pos="3240"/>
      </w:tabs>
    </w:pPr>
  </w:style>
  <w:style w:type="paragraph" w:customStyle="1" w:styleId="Def2Heading5">
    <w:name w:val="Def2 Heading 5"/>
    <w:basedOn w:val="Normal"/>
    <w:next w:val="Normal"/>
    <w:pPr>
      <w:numPr>
        <w:ilvl w:val="4"/>
        <w:numId w:val="6"/>
      </w:numPr>
      <w:tabs>
        <w:tab w:val="clear" w:pos="3960"/>
      </w:tabs>
    </w:pPr>
  </w:style>
  <w:style w:type="paragraph" w:customStyle="1" w:styleId="ExAHeading1">
    <w:name w:val="ExA Heading 1"/>
    <w:basedOn w:val="Normal"/>
    <w:next w:val="Normal"/>
    <w:pPr>
      <w:numPr>
        <w:numId w:val="7"/>
      </w:numPr>
      <w:tabs>
        <w:tab w:val="clear" w:pos="1080"/>
      </w:tabs>
    </w:pPr>
  </w:style>
  <w:style w:type="paragraph" w:customStyle="1" w:styleId="ExAHeading2">
    <w:name w:val="ExA Heading 2"/>
    <w:basedOn w:val="Normal"/>
    <w:next w:val="Normal"/>
    <w:pPr>
      <w:numPr>
        <w:ilvl w:val="1"/>
        <w:numId w:val="7"/>
      </w:numPr>
      <w:tabs>
        <w:tab w:val="clear" w:pos="1800"/>
      </w:tabs>
    </w:pPr>
  </w:style>
  <w:style w:type="paragraph" w:customStyle="1" w:styleId="ExAHeading3">
    <w:name w:val="ExA Heading 3"/>
    <w:basedOn w:val="Normal"/>
    <w:next w:val="Normal"/>
    <w:pPr>
      <w:numPr>
        <w:ilvl w:val="2"/>
        <w:numId w:val="7"/>
      </w:numPr>
      <w:tabs>
        <w:tab w:val="clear" w:pos="2880"/>
      </w:tabs>
    </w:pPr>
  </w:style>
  <w:style w:type="paragraph" w:customStyle="1" w:styleId="ExAHeading4">
    <w:name w:val="ExA Heading 4"/>
    <w:basedOn w:val="Normal"/>
    <w:next w:val="Normal"/>
    <w:pPr>
      <w:numPr>
        <w:ilvl w:val="3"/>
        <w:numId w:val="7"/>
      </w:numPr>
      <w:tabs>
        <w:tab w:val="clear" w:pos="3240"/>
      </w:tabs>
    </w:pPr>
  </w:style>
  <w:style w:type="paragraph" w:customStyle="1" w:styleId="ExAHeading5">
    <w:name w:val="ExA Heading 5"/>
    <w:basedOn w:val="Normal"/>
    <w:next w:val="Normal"/>
    <w:pPr>
      <w:numPr>
        <w:ilvl w:val="4"/>
        <w:numId w:val="7"/>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customStyle="1" w:styleId="HeadingBorder">
    <w:name w:val="Heading Border"/>
    <w:basedOn w:val="Normal"/>
    <w:pPr>
      <w:keepNext/>
      <w:keepLines/>
      <w:tabs>
        <w:tab w:val="left" w:leader="underscore" w:pos="7920"/>
      </w:tabs>
      <w:spacing w:line="480" w:lineRule="auto"/>
      <w:ind w:left="1987" w:firstLine="0"/>
      <w:jc w:val="both"/>
    </w:pPr>
    <w:rPr>
      <w:sz w:val="22"/>
    </w:rPr>
  </w:style>
  <w:style w:type="table" w:styleId="TableGrid">
    <w:name w:val="Table Grid"/>
    <w:basedOn w:val="TableNormal"/>
    <w:rsid w:val="00C01218"/>
    <w:pPr>
      <w:spacing w:before="240"/>
      <w:ind w:firstLine="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GH1">
    <w:name w:val="ExG H1"/>
    <w:basedOn w:val="Normal"/>
    <w:next w:val="Normal"/>
    <w:rsid w:val="009D66C3"/>
    <w:pPr>
      <w:numPr>
        <w:numId w:val="35"/>
      </w:numPr>
    </w:pPr>
  </w:style>
  <w:style w:type="paragraph" w:styleId="CommentSubject">
    <w:name w:val="annotation subject"/>
    <w:basedOn w:val="CommentText"/>
    <w:next w:val="CommentText"/>
    <w:semiHidden/>
    <w:rsid w:val="0055352E"/>
    <w:rPr>
      <w:b/>
      <w:bCs/>
    </w:rPr>
  </w:style>
  <w:style w:type="paragraph" w:styleId="BalloonText">
    <w:name w:val="Balloon Text"/>
    <w:basedOn w:val="Normal"/>
    <w:semiHidden/>
    <w:rsid w:val="0055352E"/>
    <w:rPr>
      <w:rFonts w:ascii="Tahoma" w:hAnsi="Tahoma" w:cs="Tahoma"/>
      <w:sz w:val="16"/>
      <w:szCs w:val="16"/>
    </w:rPr>
  </w:style>
  <w:style w:type="paragraph" w:styleId="TOC3">
    <w:name w:val="toc 3"/>
    <w:basedOn w:val="Normal"/>
    <w:next w:val="Normal"/>
    <w:autoRedefine/>
    <w:semiHidden/>
    <w:rsid w:val="008652C7"/>
    <w:pPr>
      <w:ind w:left="480"/>
    </w:pPr>
  </w:style>
  <w:style w:type="paragraph" w:styleId="TOC4">
    <w:name w:val="toc 4"/>
    <w:basedOn w:val="Normal"/>
    <w:next w:val="Normal"/>
    <w:autoRedefine/>
    <w:semiHidden/>
    <w:rsid w:val="008652C7"/>
    <w:pPr>
      <w:ind w:left="720"/>
    </w:pPr>
  </w:style>
  <w:style w:type="paragraph" w:styleId="TOC5">
    <w:name w:val="toc 5"/>
    <w:basedOn w:val="Normal"/>
    <w:next w:val="Normal"/>
    <w:autoRedefine/>
    <w:semiHidden/>
    <w:rsid w:val="008652C7"/>
    <w:pPr>
      <w:ind w:left="960"/>
    </w:pPr>
  </w:style>
  <w:style w:type="paragraph" w:styleId="TOC6">
    <w:name w:val="toc 6"/>
    <w:basedOn w:val="Normal"/>
    <w:next w:val="Normal"/>
    <w:autoRedefine/>
    <w:semiHidden/>
    <w:rsid w:val="008652C7"/>
    <w:pPr>
      <w:ind w:left="1200"/>
    </w:pPr>
  </w:style>
  <w:style w:type="paragraph" w:styleId="TOC7">
    <w:name w:val="toc 7"/>
    <w:basedOn w:val="Normal"/>
    <w:next w:val="Normal"/>
    <w:autoRedefine/>
    <w:semiHidden/>
    <w:rsid w:val="008652C7"/>
    <w:pPr>
      <w:ind w:left="1440"/>
    </w:pPr>
  </w:style>
  <w:style w:type="paragraph" w:styleId="TOC8">
    <w:name w:val="toc 8"/>
    <w:basedOn w:val="Normal"/>
    <w:next w:val="Normal"/>
    <w:autoRedefine/>
    <w:semiHidden/>
    <w:rsid w:val="008652C7"/>
    <w:pPr>
      <w:ind w:left="1680"/>
    </w:pPr>
  </w:style>
  <w:style w:type="paragraph" w:styleId="TOC9">
    <w:name w:val="toc 9"/>
    <w:basedOn w:val="Normal"/>
    <w:next w:val="Normal"/>
    <w:autoRedefine/>
    <w:semiHidden/>
    <w:rsid w:val="008652C7"/>
    <w:pPr>
      <w:ind w:left="1920"/>
    </w:pPr>
  </w:style>
  <w:style w:type="paragraph" w:customStyle="1" w:styleId="ExBH1">
    <w:name w:val="ExB H1"/>
    <w:basedOn w:val="Normal"/>
    <w:next w:val="Normal"/>
    <w:rsid w:val="009D66C3"/>
    <w:pPr>
      <w:numPr>
        <w:numId w:val="20"/>
      </w:numPr>
    </w:pPr>
  </w:style>
  <w:style w:type="paragraph" w:customStyle="1" w:styleId="ExBH2">
    <w:name w:val="ExB H2"/>
    <w:basedOn w:val="Normal"/>
    <w:next w:val="Normal"/>
    <w:rsid w:val="009D66C3"/>
    <w:pPr>
      <w:numPr>
        <w:ilvl w:val="1"/>
        <w:numId w:val="20"/>
      </w:numPr>
    </w:pPr>
  </w:style>
  <w:style w:type="paragraph" w:customStyle="1" w:styleId="ExBH3">
    <w:name w:val="ExB H3"/>
    <w:basedOn w:val="Normal"/>
    <w:next w:val="Normal"/>
    <w:rsid w:val="009D66C3"/>
    <w:pPr>
      <w:numPr>
        <w:ilvl w:val="2"/>
        <w:numId w:val="20"/>
      </w:numPr>
    </w:pPr>
  </w:style>
  <w:style w:type="paragraph" w:customStyle="1" w:styleId="ExCH1">
    <w:name w:val="ExC H1"/>
    <w:basedOn w:val="Normal"/>
    <w:next w:val="Normal"/>
    <w:rsid w:val="009D66C3"/>
    <w:pPr>
      <w:numPr>
        <w:numId w:val="23"/>
      </w:numPr>
    </w:pPr>
  </w:style>
  <w:style w:type="paragraph" w:customStyle="1" w:styleId="ExCH2">
    <w:name w:val="ExC H2"/>
    <w:basedOn w:val="Normal"/>
    <w:next w:val="Normal"/>
    <w:rsid w:val="009D66C3"/>
    <w:pPr>
      <w:numPr>
        <w:ilvl w:val="1"/>
        <w:numId w:val="23"/>
      </w:numPr>
    </w:pPr>
  </w:style>
  <w:style w:type="paragraph" w:customStyle="1" w:styleId="ExCH3">
    <w:name w:val="ExC H3"/>
    <w:basedOn w:val="Normal"/>
    <w:next w:val="Normal"/>
    <w:rsid w:val="009D66C3"/>
    <w:pPr>
      <w:numPr>
        <w:ilvl w:val="2"/>
        <w:numId w:val="23"/>
      </w:numPr>
    </w:pPr>
  </w:style>
  <w:style w:type="paragraph" w:customStyle="1" w:styleId="ExDH1">
    <w:name w:val="ExD H1"/>
    <w:basedOn w:val="Normal"/>
    <w:next w:val="Normal"/>
    <w:rsid w:val="009D66C3"/>
    <w:pPr>
      <w:numPr>
        <w:numId w:val="26"/>
      </w:numPr>
    </w:pPr>
  </w:style>
  <w:style w:type="paragraph" w:customStyle="1" w:styleId="ExDH2">
    <w:name w:val="ExD H2"/>
    <w:basedOn w:val="Normal"/>
    <w:next w:val="Normal"/>
    <w:rsid w:val="009D66C3"/>
    <w:pPr>
      <w:numPr>
        <w:ilvl w:val="1"/>
        <w:numId w:val="26"/>
      </w:numPr>
    </w:pPr>
  </w:style>
  <w:style w:type="paragraph" w:customStyle="1" w:styleId="ExDH3">
    <w:name w:val="ExD H3"/>
    <w:basedOn w:val="Normal"/>
    <w:next w:val="Normal"/>
    <w:rsid w:val="009D66C3"/>
    <w:pPr>
      <w:numPr>
        <w:ilvl w:val="2"/>
        <w:numId w:val="26"/>
      </w:numPr>
    </w:pPr>
  </w:style>
  <w:style w:type="paragraph" w:customStyle="1" w:styleId="ExEH1">
    <w:name w:val="ExE H1"/>
    <w:basedOn w:val="Normal"/>
    <w:next w:val="Normal"/>
    <w:rsid w:val="009D66C3"/>
    <w:pPr>
      <w:numPr>
        <w:numId w:val="29"/>
      </w:numPr>
    </w:pPr>
  </w:style>
  <w:style w:type="paragraph" w:customStyle="1" w:styleId="ExEH2">
    <w:name w:val="ExE H2"/>
    <w:basedOn w:val="Normal"/>
    <w:next w:val="Normal"/>
    <w:rsid w:val="009D66C3"/>
    <w:pPr>
      <w:numPr>
        <w:ilvl w:val="1"/>
        <w:numId w:val="29"/>
      </w:numPr>
    </w:pPr>
  </w:style>
  <w:style w:type="paragraph" w:customStyle="1" w:styleId="ExEH3">
    <w:name w:val="ExE H3"/>
    <w:basedOn w:val="Normal"/>
    <w:next w:val="Normal"/>
    <w:rsid w:val="009D66C3"/>
    <w:pPr>
      <w:numPr>
        <w:ilvl w:val="2"/>
        <w:numId w:val="29"/>
      </w:numPr>
    </w:pPr>
  </w:style>
  <w:style w:type="paragraph" w:customStyle="1" w:styleId="ExFH1">
    <w:name w:val="ExF H1"/>
    <w:basedOn w:val="Normal"/>
    <w:next w:val="Normal"/>
    <w:rsid w:val="009D66C3"/>
    <w:pPr>
      <w:numPr>
        <w:numId w:val="32"/>
      </w:numPr>
    </w:pPr>
  </w:style>
  <w:style w:type="paragraph" w:customStyle="1" w:styleId="ExFH2">
    <w:name w:val="ExF H2"/>
    <w:basedOn w:val="Normal"/>
    <w:next w:val="Normal"/>
    <w:rsid w:val="009D66C3"/>
    <w:pPr>
      <w:numPr>
        <w:ilvl w:val="1"/>
        <w:numId w:val="32"/>
      </w:numPr>
    </w:pPr>
  </w:style>
  <w:style w:type="paragraph" w:customStyle="1" w:styleId="ExFH3">
    <w:name w:val="ExF H3"/>
    <w:basedOn w:val="Normal"/>
    <w:next w:val="Normal"/>
    <w:rsid w:val="009D66C3"/>
    <w:pPr>
      <w:numPr>
        <w:ilvl w:val="2"/>
        <w:numId w:val="32"/>
      </w:numPr>
    </w:pPr>
  </w:style>
  <w:style w:type="paragraph" w:customStyle="1" w:styleId="ExGH2">
    <w:name w:val="ExG H2"/>
    <w:basedOn w:val="Normal"/>
    <w:next w:val="Normal"/>
    <w:rsid w:val="009D66C3"/>
    <w:pPr>
      <w:numPr>
        <w:ilvl w:val="1"/>
        <w:numId w:val="35"/>
      </w:numPr>
    </w:pPr>
  </w:style>
  <w:style w:type="paragraph" w:customStyle="1" w:styleId="ExGH3">
    <w:name w:val="ExG H3"/>
    <w:basedOn w:val="Normal"/>
    <w:next w:val="Normal"/>
    <w:rsid w:val="009D66C3"/>
    <w:pPr>
      <w:numPr>
        <w:ilvl w:val="2"/>
        <w:numId w:val="35"/>
      </w:numPr>
    </w:pPr>
  </w:style>
  <w:style w:type="paragraph" w:customStyle="1" w:styleId="ExHH1">
    <w:name w:val="ExH H1"/>
    <w:basedOn w:val="Normal"/>
    <w:next w:val="Normal"/>
    <w:rsid w:val="009D66C3"/>
    <w:pPr>
      <w:numPr>
        <w:numId w:val="38"/>
      </w:numPr>
      <w:tabs>
        <w:tab w:val="clear" w:pos="1080"/>
      </w:tabs>
    </w:pPr>
  </w:style>
  <w:style w:type="paragraph" w:customStyle="1" w:styleId="ExHH2">
    <w:name w:val="ExH H2"/>
    <w:basedOn w:val="Normal"/>
    <w:next w:val="Normal"/>
    <w:rsid w:val="009D66C3"/>
    <w:pPr>
      <w:numPr>
        <w:ilvl w:val="1"/>
        <w:numId w:val="38"/>
      </w:numPr>
    </w:pPr>
  </w:style>
  <w:style w:type="paragraph" w:customStyle="1" w:styleId="ExHH3">
    <w:name w:val="ExH H3"/>
    <w:basedOn w:val="Normal"/>
    <w:next w:val="Normal"/>
    <w:rsid w:val="009D66C3"/>
    <w:pPr>
      <w:numPr>
        <w:ilvl w:val="2"/>
        <w:numId w:val="38"/>
      </w:numPr>
    </w:pPr>
  </w:style>
  <w:style w:type="character" w:styleId="FootnoteReference">
    <w:name w:val="footnote reference"/>
    <w:semiHidden/>
    <w:rsid w:val="00DA534C"/>
    <w:rPr>
      <w:vertAlign w:val="superscript"/>
    </w:rPr>
  </w:style>
  <w:style w:type="character" w:styleId="EndnoteReference">
    <w:name w:val="endnote reference"/>
    <w:semiHidden/>
    <w:rsid w:val="00386A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51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5059</Words>
  <Characters>28838</Characters>
  <Application>Microsoft Office Word</Application>
  <DocSecurity>0</DocSecurity>
  <Lines>240</Lines>
  <Paragraphs>67</Paragraphs>
  <ScaleCrop>false</ScaleCrop>
  <Manager/>
  <Company/>
  <LinksUpToDate>false</LinksUpToDate>
  <CharactersWithSpaces>33830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2013-10-05T00:45:00Z</dcterms:created>
  <dcterms:modified xsi:type="dcterms:W3CDTF">2013-10-05T00:46:00Z</dcterms:modified>
</cp:coreProperties>
</file>