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Unhinged Card Design Principles</w:t>
      </w:r>
    </w:p>
    <w:p>
      <w:r>
        <w:t>Working guide  •  22 September 2026</w:t>
      </w:r>
    </w:p>
    <w:p>
      <w:r>
        <w:t>This guide records how a physical Unhinged card should communicate information before artwork or individual card frames are prototyped. It distinguishes current design principles from ideas that still need a playtest. Revise it when the rules settle or a printed prototype reveals a better solution.</w:t>
      </w:r>
    </w:p>
    <w:p>
      <w:pPr>
        <w:pStyle w:val="Heading1"/>
      </w:pPr>
      <w:r>
        <w:t>Core principle</w:t>
      </w:r>
    </w:p>
    <w:p>
      <w:r>
        <w:t>Place each piece of information where it can be seen when a player needs it: while fanning a hand, reading a card on the table, assessing combat across the table, or viewing cards that overlap. The card should remain clear in grayscale and under ordinary play conditions.</w:t>
      </w:r>
    </w:p>
    <w:p>
      <w:pPr>
        <w:pStyle w:val="Heading1"/>
      </w:pPr>
      <w:r>
        <w:t>Information by viewing situation</w:t>
      </w:r>
    </w:p>
    <w:p>
      <w:pPr>
        <w:pStyle w:val="Heading2"/>
      </w:pPr>
      <w:r>
        <w:t>In a fanned hand</w:t>
      </w:r>
    </w:p>
    <w:p>
      <w:pPr>
        <w:pStyle w:val="ListBullet"/>
        <w:spacing w:after="60"/>
      </w:pPr>
      <w:r>
        <w:t>Cost is the first thing to recognize. Give it the clearest, largest position in the upper left.</w:t>
      </w:r>
    </w:p>
    <w:p>
      <w:pPr>
        <w:pStyle w:val="ListBullet"/>
        <w:spacing w:after="60"/>
      </w:pPr>
      <w:r>
        <w:t>Card type is second. Explore a small, distinct symbol next to cost, with the type written out elsewhere on the card. Do not depend on color to distinguish types.</w:t>
      </w:r>
    </w:p>
    <w:p>
      <w:pPr>
        <w:pStyle w:val="ListBullet"/>
        <w:spacing w:after="60"/>
      </w:pPr>
      <w:r>
        <w:t>Start the main name near the visible upper edge. The complete name and subtitle need not fit inside the exposed wedge.</w:t>
      </w:r>
    </w:p>
    <w:p>
      <w:pPr>
        <w:pStyle w:val="ListBullet"/>
        <w:spacing w:after="60"/>
      </w:pPr>
      <w:r>
        <w:t>Check the fan direction with real hands; left-handed players or an opposite fan may expose a different edge. A second tiny cue or a layout adjustment may prove useful.</w:t>
      </w:r>
    </w:p>
    <w:p>
      <w:pPr>
        <w:pStyle w:val="Heading2"/>
      </w:pPr>
      <w:r>
        <w:t>On the table</w:t>
      </w:r>
    </w:p>
    <w:p>
      <w:pPr>
        <w:pStyle w:val="ListBullet"/>
        <w:spacing w:after="60"/>
      </w:pPr>
      <w:r>
        <w:t>Keep active ability text and combat values in stable places that can be read from the player’s side and, where possible, across the table.</w:t>
      </w:r>
    </w:p>
    <w:p>
      <w:pPr>
        <w:pStyle w:val="ListBullet"/>
        <w:spacing w:after="60"/>
      </w:pPr>
      <w:r>
        <w:t>Use the lower portion for abilities, Power, and Guard, with consistent positions. Final stat placement remains open.</w:t>
      </w:r>
    </w:p>
    <w:p>
      <w:pPr>
        <w:pStyle w:val="ListBullet"/>
        <w:spacing w:after="60"/>
      </w:pPr>
      <w:r>
        <w:t>Traits and timing cues must be findable when an effect refers to them. Cost can become less prominent once the card is played.</w:t>
      </w:r>
    </w:p>
    <w:p>
      <w:pPr>
        <w:pStyle w:val="Heading2"/>
      </w:pPr>
      <w:r>
        <w:t>When cards overlap</w:t>
      </w:r>
    </w:p>
    <w:p>
      <w:pPr>
        <w:pStyle w:val="ListBullet"/>
        <w:spacing w:after="60"/>
      </w:pPr>
      <w:r>
        <w:t>A test card with Stack should leave earlier abilities readable in a stepped arrangement. The visible lower area should support a sequence without relying on hidden art or titles.</w:t>
      </w:r>
    </w:p>
    <w:p>
      <w:pPr>
        <w:pStyle w:val="ListBullet"/>
        <w:spacing w:after="60"/>
      </w:pPr>
      <w:r>
        <w:t>A provisional stack rule may use the top card’s stats and retain exposed abilities below it; this is a gameplay hypothesis, not a layout requirement yet.</w:t>
      </w:r>
    </w:p>
    <w:p>
      <w:pPr>
        <w:pStyle w:val="ListBullet"/>
        <w:spacing w:after="60"/>
      </w:pPr>
      <w:r>
        <w:t>Test the space a three-card stack takes, which text stays visible, and whether players can pick up and reorder it without losing track of damage or effects.</w:t>
      </w:r>
    </w:p>
    <w:p>
      <w:pPr>
        <w:pStyle w:val="Heading1"/>
      </w:pPr>
      <w:r>
        <w:t>Text and visual language</w:t>
      </w:r>
    </w:p>
    <w:p>
      <w:pPr>
        <w:pStyle w:val="ListBullet"/>
        <w:spacing w:after="60"/>
      </w:pPr>
      <w:r>
        <w:t>Use dark text on a light, quiet text field. Give body text generous spacing and a clean, legible font. Keep decorative textures and artwork out of reading areas.</w:t>
      </w:r>
    </w:p>
    <w:p>
      <w:pPr>
        <w:pStyle w:val="ListBullet"/>
        <w:spacing w:after="60"/>
      </w:pPr>
      <w:r>
        <w:t>Write short, precise rules sentences. Remove repeated words when their meaning is clear, but do not sacrifice timing or target clarity to save a line.</w:t>
      </w:r>
    </w:p>
    <w:p>
      <w:pPr>
        <w:pStyle w:val="ListBullet"/>
        <w:spacing w:after="60"/>
      </w:pPr>
      <w:r>
        <w:t>Build recurring symbols only after the vocabulary stabilizes. Introduce a symbol when it replaces a frequent phrase and remains recognizable at printed size; explain it in a reference and in teaching materials.</w:t>
      </w:r>
    </w:p>
    <w:p>
      <w:pPr>
        <w:pStyle w:val="ListBullet"/>
        <w:spacing w:after="60"/>
      </w:pPr>
      <w:r>
        <w:t>Design type and resource icons as different silhouettes, not small variations of one motif. Test them in monochrome, at actual print size, and without labels before trusting the symbol alone.</w:t>
      </w:r>
    </w:p>
    <w:p>
      <w:pPr>
        <w:pStyle w:val="ListBullet"/>
        <w:spacing w:after="60"/>
      </w:pPr>
      <w:r>
        <w:t>Use color as reinforcement for factions or card identity, never as the sole carrier of rules information.</w:t>
      </w:r>
    </w:p>
    <w:p>
      <w:pPr>
        <w:pStyle w:val="Heading1"/>
      </w:pPr>
      <w:r>
        <w:t>Names and identification</w:t>
      </w:r>
    </w:p>
    <w:p>
      <w:pPr>
        <w:pStyle w:val="ListBullet"/>
        <w:spacing w:after="60"/>
      </w:pPr>
      <w:r>
        <w:t>Allow a main title and subtitle for distinct versions of a recurring subject, such as Gus and Backyard Wrestler. Make their visual hierarchy clear; do not assume those example names are approved cards.</w:t>
      </w:r>
    </w:p>
    <w:p>
      <w:pPr>
        <w:pStyle w:val="ListBullet"/>
        <w:spacing w:after="60"/>
      </w:pPr>
      <w:r>
        <w:t>Reserve a consistent, unobtrusive area for set or season, collector number, and stable card ID. A translated printing should retain the same underlying card ID when it represents the same gameplay card.</w:t>
      </w:r>
    </w:p>
    <w:p>
      <w:pPr>
        <w:pStyle w:val="ListBullet"/>
        <w:spacing w:after="60"/>
      </w:pPr>
      <w:r>
        <w:t>Decide later how alternate art, reprints, and revised rules text affect collector numbers and print identifiers. Do not force those details into the ability box.</w:t>
      </w:r>
    </w:p>
    <w:p>
      <w:pPr>
        <w:pStyle w:val="Heading1"/>
      </w:pPr>
      <w:r>
        <w:t>Accessibility checks</w:t>
      </w:r>
    </w:p>
    <w:p>
      <w:pPr>
        <w:pStyle w:val="ListBullet"/>
        <w:spacing w:after="60"/>
      </w:pPr>
      <w:r>
        <w:t>Readability: inspect printed cards at normal play distance and across a table, not only at screen zoom. Check small numbers, italics, glare, and low light.</w:t>
      </w:r>
    </w:p>
    <w:p>
      <w:pPr>
        <w:pStyle w:val="ListBullet"/>
        <w:spacing w:after="60"/>
      </w:pPr>
      <w:r>
        <w:t>Color vision: remove color and confirm that cost, type, factions, and game states are still distinguishable through shape, wording, placement, or pattern.</w:t>
      </w:r>
    </w:p>
    <w:p>
      <w:pPr>
        <w:pStyle w:val="ListBullet"/>
        <w:spacing w:after="60"/>
      </w:pPr>
      <w:r>
        <w:t>Cognitive load: keep symbols limited, locations predictable, status language consistent, and reminder text available for unfamiliar keywords.</w:t>
      </w:r>
    </w:p>
    <w:p>
      <w:pPr>
        <w:pStyle w:val="ListBullet"/>
        <w:spacing w:after="60"/>
      </w:pPr>
      <w:r>
        <w:t>Physical handling: ensure overlap, sleeves, counters, and damage markers do not hide required information. Test ease of rotating, stacking, and lifting cards.</w:t>
      </w:r>
    </w:p>
    <w:p>
      <w:pPr>
        <w:pStyle w:val="ListBullet"/>
        <w:spacing w:after="60"/>
      </w:pPr>
      <w:r>
        <w:t>Orientation: distinguish a card that permanently lives sideways from a card Rotated by game effects. A sideways card should have an explicit frame or state cue and readable rules.</w:t>
      </w:r>
    </w:p>
    <w:p>
      <w:pPr>
        <w:pStyle w:val="ListBullet"/>
        <w:spacing w:after="60"/>
      </w:pPr>
      <w:r>
        <w:t>Localization: allow text to expand in translation; keep IDs stable and avoid rules that depend on English wordplay or color names unless the rules provide an equivalent cue.</w:t>
      </w:r>
    </w:p>
    <w:p>
      <w:pPr>
        <w:pStyle w:val="Heading1"/>
      </w:pPr>
      <w:r>
        <w:t>Mechanics to test without committing the template</w:t>
      </w:r>
    </w:p>
    <w:p>
      <w:pPr>
        <w:pStyle w:val="Heading2"/>
      </w:pPr>
      <w:r>
        <w:t>Stack</w:t>
      </w:r>
    </w:p>
    <w:p>
      <w:r>
        <w:t>Candidate: a keyword on a small number of cards, perhaps concentrated in one color. Its appeal is a growing, visible chain of effects that invites the opponent to respond before it builds. Test whether earlier abilities remain active, how damage works, how many cards may stack, when effects resolve, and what happens if the stack is removed. The template should allow the experiment without assuming every card can stack.</w:t>
      </w:r>
    </w:p>
    <w:p>
      <w:pPr>
        <w:pStyle w:val="Heading2"/>
      </w:pPr>
      <w:r>
        <w:t>Persistent sideways card</w:t>
      </w:r>
    </w:p>
    <w:p>
      <w:r>
        <w:t>Candidate: a card that affects the board, has Guard, and can be attacked while oriented sideways. It is not yet a new card type. Test whether orientation conflicts with Rotate. Its text, Guard, targetability, and state must remain clear.</w:t>
      </w:r>
    </w:p>
    <w:p>
      <w:pPr>
        <w:pStyle w:val="Heading1"/>
      </w:pPr>
      <w:r>
        <w:t>Prototype acceptance questions</w:t>
      </w:r>
    </w:p>
    <w:p>
      <w:pPr>
        <w:pStyle w:val="ListBullet"/>
        <w:spacing w:after="60"/>
      </w:pPr>
      <w:r>
        <w:t>Can someone scan cost and type in a five-card fan without pulling cards apart?</w:t>
      </w:r>
    </w:p>
    <w:p>
      <w:pPr>
        <w:pStyle w:val="ListBullet"/>
        <w:spacing w:after="60"/>
      </w:pPr>
      <w:r>
        <w:t>Can a new player read the full rules and identify stats at printed size?</w:t>
      </w:r>
    </w:p>
    <w:p>
      <w:pPr>
        <w:pStyle w:val="ListBullet"/>
        <w:spacing w:after="60"/>
      </w:pPr>
      <w:r>
        <w:t>Can players distinguish the type symbols with color removed and without a legend?</w:t>
      </w:r>
    </w:p>
    <w:p>
      <w:pPr>
        <w:pStyle w:val="ListBullet"/>
        <w:spacing w:after="60"/>
      </w:pPr>
      <w:r>
        <w:t>Can an opponent identify each relevant target and state across the table?</w:t>
      </w:r>
    </w:p>
    <w:p>
      <w:pPr>
        <w:pStyle w:val="ListBullet"/>
        <w:spacing w:after="60"/>
      </w:pPr>
      <w:r>
        <w:t>Can three stacked cards and a sideways persistent card be played without obscuring information or confusing Rotate?</w:t>
      </w:r>
    </w:p>
    <w:p>
      <w:pPr>
        <w:pStyle w:val="ListBullet"/>
        <w:spacing w:after="60"/>
      </w:pPr>
      <w:r>
        <w:t>Does the title, subtitle, and set identification remain legible with translated text?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Unhinged  •  working design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