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Leelawadee UI" w:cs="Leelawadee UI" w:eastAsia="Leelawadee UI" w:hAnsi="Leelawadee UI"/>
          <w:b/>
          <w:bCs/>
          <w:color w:val="12315C"/>
          <w:sz w:val="36"/>
          <w:szCs w:val="36"/>
        </w:rPr>
        <w:t xml:space="preserve">หลักสูตรอบรมผู้ช่วยพยาบาล</w:t>
      </w:r>
    </w:p>
    <w:p>
      <w:pPr>
        <w:spacing w:after="200"/>
      </w:pPr>
      <w:r>
        <w:rPr>
          <w:rFonts w:ascii="Leelawadee UI" w:cs="Leelawadee UI" w:eastAsia="Leelawadee UI" w:hAnsi="Leelawadee UI"/>
          <w:color w:val="4A4A4A"/>
          <w:sz w:val="20"/>
          <w:szCs w:val="20"/>
        </w:rPr>
        <w:t xml:space="preserve">การดูแลผู้ป่วยจิตเวชสูงอายุ (60 ปีขึ้นไป) ที่มีภาวะเศร้าโศกจากการสูญเสียความสัมพันธ์  |  Vejthani International Hospital</w:t>
      </w:r>
    </w:p>
    <w:p>
      <w:pPr>
        <w:pBdr>
          <w:bottom w:val="single" w:color="12315C" w:sz="8" w:space="4"/>
        </w:pBdr>
        <w:spacing w:after="200"/>
      </w:pPr>
      <w:r>
        <w:rPr>
          <w:rFonts w:ascii="Leelawadee UI" w:cs="Leelawadee UI" w:eastAsia="Leelawadee UI" w:hAnsi="Leelawadee UI"/>
        </w:rPr>
        <w:t xml:space="preserve"/>
      </w:r>
    </w:p>
    <w:p>
      <w:pPr>
        <w:spacing w:after="200" w:line="280"/>
        <w:jc w:val="both"/>
      </w:pPr>
      <w:r>
        <w:rPr>
          <w:rFonts w:ascii="Leelawadee UI" w:cs="Leelawadee UI" w:eastAsia="Leelawadee UI" w:hAnsi="Leelawadee UI"/>
          <w:i/>
          <w:iCs/>
          <w:color w:val="4A4A4A"/>
          <w:sz w:val="18"/>
          <w:szCs w:val="18"/>
        </w:rPr>
        <w:t xml:space="preserve">หมายเหตุขอบเขต: หลักสูตรนี้ตั้งสมมติฐานว่า "ผู้สูงอายุอกหัก" หมายถึงผู้ป่วยที่มีภาวะซึมเศร้า/เศร้าโศกจากการสูญเสียความสัมพันธ์ (คู่ครองเสียชีวิตหรือเลิกรา) หากในทางคลินิกหมายถึง Broken Heart Syndrome (Takotsubo Cardiomyopathy) ซึ่งเป็นภาวะทางกาย ต้องใช้แนวทางการดูแลของทีมอายุรกรรม/หัวใจแทน ควรยืนยันนิยามก่อนนำไปใช้จริง</w:t>
      </w:r>
    </w:p>
    <w:p>
      <w:pPr>
        <w:pBdr>
          <w:bottom w:val="single" w:color="0E7C7B" w:sz="6" w:space="4"/>
        </w:pBdr>
        <w:spacing w:after="120" w:before="300"/>
      </w:pPr>
      <w:r>
        <w:rPr>
          <w:rFonts w:ascii="Leelawadee UI" w:cs="Leelawadee UI" w:eastAsia="Leelawadee UI" w:hAnsi="Leelawadee UI"/>
          <w:b/>
          <w:bCs/>
          <w:color w:val="0E7C7B"/>
          <w:sz w:val="26"/>
          <w:szCs w:val="26"/>
        </w:rPr>
        <w:t xml:space="preserve">เป้าหมายของหลักสูตร</w:t>
      </w:r>
    </w:p>
    <w:p>
      <w:pPr>
        <w:spacing w:after="160" w:line="300"/>
        <w:jc w:val="both"/>
      </w:pPr>
      <w:r>
        <w:rPr>
          <w:rFonts w:ascii="Leelawadee UI" w:cs="Leelawadee UI" w:eastAsia="Leelawadee UI" w:hAnsi="Leelawadee UI"/>
          <w:color w:val="000000"/>
          <w:sz w:val="21"/>
          <w:szCs w:val="21"/>
        </w:rPr>
        <w:t xml:space="preserve">เมื่อจบหลักสูตร ผู้ช่วยพยาบาลสามารถแยกแยะความเศร้าโศกตามปกติ (grief) ออกจากภาวะซึมเศร้าทางคลินิก (depression) ในผู้สูงอายุ สังเกตสัญญาณเสี่ยงที่ต้องรายงานทันที ให้การดูแลด้านจิตใจเบื้องต้นด้วยทักษะการสื่อสารที่เหมาะสม ใช้เครื่องมือประเมินเบื้องต้นภายในขอบเขตวิชาชีพ และส่งต่อทีมสหวิชาชีพได้ถูกต้องและทันเวลา</w:t>
      </w:r>
    </w:p>
    <w:p>
      <w:pPr>
        <w:pBdr>
          <w:bottom w:val="single" w:color="0E7C7B" w:sz="6" w:space="4"/>
        </w:pBdr>
        <w:spacing w:after="120" w:before="300"/>
      </w:pPr>
      <w:r>
        <w:rPr>
          <w:rFonts w:ascii="Leelawadee UI" w:cs="Leelawadee UI" w:eastAsia="Leelawadee UI" w:hAnsi="Leelawadee UI"/>
          <w:b/>
          <w:bCs/>
          <w:color w:val="0E7C7B"/>
          <w:sz w:val="26"/>
          <w:szCs w:val="26"/>
        </w:rPr>
        <w:t xml:space="preserve">โครงสร้างเนื้อหา (70-20-10)</w:t>
      </w:r>
    </w:p>
    <w:p>
      <w:pPr>
        <w:spacing w:after="60" w:before="160"/>
      </w:pPr>
      <w:r>
        <w:rPr>
          <w:rFonts w:ascii="Leelawadee UI" w:cs="Leelawadee UI" w:eastAsia="Leelawadee UI" w:hAnsi="Leelawadee UI"/>
          <w:b/>
          <w:bCs/>
          <w:color w:val="12315C"/>
          <w:sz w:val="22"/>
          <w:szCs w:val="22"/>
        </w:rPr>
        <w:t xml:space="preserve">โมดูล 1 · ความรู้พื้นฐาน (Formal, 3 ชม.)</w:t>
      </w:r>
    </w:p>
    <w:p>
      <w:pPr>
        <w:spacing w:after="160" w:line="300"/>
        <w:jc w:val="both"/>
      </w:pPr>
      <w:r>
        <w:rPr>
          <w:rFonts w:ascii="Leelawadee UI" w:cs="Leelawadee UI" w:eastAsia="Leelawadee UI" w:hAnsi="Leelawadee UI"/>
          <w:color w:val="000000"/>
          <w:sz w:val="21"/>
          <w:szCs w:val="21"/>
        </w:rPr>
        <w:t xml:space="preserve">ความแตกต่างระหว่างเศร้าโศกปกติกับภาวะซึมเศร้าทางคลินิกในผู้สูงอายุ ผลกระทบของการสูญเสียคู่ชีวิตต่อสุขภาพจิต และสัญญาณเตือนที่ต้องรายงานพยาบาลทันที เช่น พูดถึงความตาย ปฏิเสธอาหารต่อเนื่อง แยกตัวจากสังคม</w:t>
      </w:r>
    </w:p>
    <w:p>
      <w:pPr>
        <w:spacing w:after="60" w:before="160"/>
      </w:pPr>
      <w:r>
        <w:rPr>
          <w:rFonts w:ascii="Leelawadee UI" w:cs="Leelawadee UI" w:eastAsia="Leelawadee UI" w:hAnsi="Leelawadee UI"/>
          <w:b/>
          <w:bCs/>
          <w:color w:val="12315C"/>
          <w:sz w:val="22"/>
          <w:szCs w:val="22"/>
        </w:rPr>
        <w:t xml:space="preserve">โมดูล 2 · ทักษะการสื่อสารและการฟัง (Social 20%)</w:t>
      </w:r>
    </w:p>
    <w:p>
      <w:pPr>
        <w:spacing w:after="160" w:line="300"/>
        <w:jc w:val="both"/>
      </w:pPr>
      <w:r>
        <w:rPr>
          <w:rFonts w:ascii="Leelawadee UI" w:cs="Leelawadee UI" w:eastAsia="Leelawadee UI" w:hAnsi="Leelawadee UI"/>
          <w:color w:val="000000"/>
          <w:sz w:val="21"/>
          <w:szCs w:val="21"/>
        </w:rPr>
        <w:t xml:space="preserve">ฝึก Active Listening การไม่ตัดสิน การรับมือเมื่อผู้ป่วยร้องไห้หรือแสดงความโกรธ และการสร้างความไว้วางใจกับผู้สูงอายุ ผ่านการทำ Role-play ร่วมกับพยาบาลพี่เลี้ยง</w:t>
      </w:r>
    </w:p>
    <w:p>
      <w:pPr>
        <w:spacing w:after="60" w:before="160"/>
      </w:pPr>
      <w:r>
        <w:rPr>
          <w:rFonts w:ascii="Leelawadee UI" w:cs="Leelawadee UI" w:eastAsia="Leelawadee UI" w:hAnsi="Leelawadee UI"/>
          <w:b/>
          <w:bCs/>
          <w:color w:val="12315C"/>
          <w:sz w:val="22"/>
          <w:szCs w:val="22"/>
        </w:rPr>
        <w:t xml:space="preserve">โมดูล 3 · การประเมินความเสี่ยงเบื้องต้น (Formal + Coaching)</w:t>
      </w:r>
    </w:p>
    <w:p>
      <w:pPr>
        <w:spacing w:after="160" w:line="300"/>
        <w:jc w:val="both"/>
      </w:pPr>
      <w:r>
        <w:rPr>
          <w:rFonts w:ascii="Leelawadee UI" w:cs="Leelawadee UI" w:eastAsia="Leelawadee UI" w:hAnsi="Leelawadee UI"/>
          <w:color w:val="000000"/>
          <w:sz w:val="21"/>
          <w:szCs w:val="21"/>
        </w:rPr>
        <w:t xml:space="preserve">การใช้แบบประเมินภาวะซึมเศร้าในผู้สูงอายุ (เช่น GDS-15) และการประเมินความเสี่ยงฆ่าตัวตายเบื้องต้นเท่าที่อยู่ในขอบเขตวิชาชีพ พร้อมขั้นตอนส่งต่อพยาบาล/จิตแพทย์ทันทีเมื่อพบสัญญาณเสี่ยง</w:t>
      </w:r>
    </w:p>
    <w:p>
      <w:pPr>
        <w:spacing w:after="60" w:before="160"/>
      </w:pPr>
      <w:r>
        <w:rPr>
          <w:rFonts w:ascii="Leelawadee UI" w:cs="Leelawadee UI" w:eastAsia="Leelawadee UI" w:hAnsi="Leelawadee UI"/>
          <w:b/>
          <w:bCs/>
          <w:color w:val="12315C"/>
          <w:sz w:val="22"/>
          <w:szCs w:val="22"/>
        </w:rPr>
        <w:t xml:space="preserve">โมดูล 4 · ฝึกปฏิบัติหน้างานจริง (On-the-Job 70%)</w:t>
      </w:r>
    </w:p>
    <w:p>
      <w:pPr>
        <w:spacing w:after="160" w:line="300"/>
        <w:jc w:val="both"/>
      </w:pPr>
      <w:r>
        <w:rPr>
          <w:rFonts w:ascii="Leelawadee UI" w:cs="Leelawadee UI" w:eastAsia="Leelawadee UI" w:hAnsi="Leelawadee UI"/>
          <w:color w:val="000000"/>
          <w:sz w:val="21"/>
          <w:szCs w:val="21"/>
        </w:rPr>
        <w:t xml:space="preserve">ดูแลเคสจริงภายใต้การกำกับของพยาบาลประจำวอร์ด ระยะเวลา 2-4 สัปดาห์ พร้อม Debrief หลังเวรทุกครั้งที่ดูแลผู้ป่วยกลุ่มนี้</w:t>
      </w:r>
    </w:p>
    <w:p>
      <w:pPr>
        <w:pBdr>
          <w:bottom w:val="single" w:color="0E7C7B" w:sz="6" w:space="4"/>
        </w:pBdr>
        <w:spacing w:after="120" w:before="300"/>
      </w:pPr>
      <w:r>
        <w:rPr>
          <w:rFonts w:ascii="Leelawadee UI" w:cs="Leelawadee UI" w:eastAsia="Leelawadee UI" w:hAnsi="Leelawadee UI"/>
          <w:b/>
          <w:bCs/>
          <w:color w:val="0E7C7B"/>
          <w:sz w:val="26"/>
          <w:szCs w:val="26"/>
        </w:rPr>
        <w:t xml:space="preserve">ตาราง Action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700"/>
        <w:gridCol w:w="1080"/>
        <w:gridCol w:w="1800"/>
        <w:gridCol w:w="2070"/>
      </w:tblGrid>
      <w:tr>
        <w:trPr>
          <w:tblHeader/>
        </w:trPr>
        <w:tc>
          <w:tcPr>
            <w:tcW w:type="pct" w:w="15%"/>
            <w:shd w:fill="1231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กิจกรรม</w:t>
            </w:r>
          </w:p>
        </w:tc>
        <w:tc>
          <w:tcPr>
            <w:tcW w:type="pct" w:w="30%"/>
            <w:shd w:fill="1231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pct" w:w="12%"/>
            <w:shd w:fill="1231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ระยะเวลา</w:t>
            </w:r>
          </w:p>
        </w:tc>
        <w:tc>
          <w:tcPr>
            <w:tcW w:type="pct" w:w="20%"/>
            <w:shd w:fill="1231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ผู้รับผิดชอบ</w:t>
            </w:r>
          </w:p>
        </w:tc>
        <w:tc>
          <w:tcPr>
            <w:tcW w:type="pct" w:w="23%"/>
            <w:shd w:fill="1231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วิธีวัดผล</w:t>
            </w:r>
          </w:p>
        </w:tc>
      </w:tr>
      <w:tr>
        <w:trPr>
          <w:tblHeader w:val="false"/>
        </w:trPr>
        <w:tc>
          <w:tcPr>
            <w:tcW w:type="pct" w:w="15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โมดูล 1 บรรยาย</w:t>
            </w:r>
          </w:p>
        </w:tc>
        <w:tc>
          <w:tcPr>
            <w:tcW w:type="pct" w:w="30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ความรู้พื้นฐาน grief vs depression</w:t>
            </w:r>
          </w:p>
        </w:tc>
        <w:tc>
          <w:tcPr>
            <w:tcW w:type="pct" w:w="12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สัปดาห์ 1</w:t>
            </w:r>
          </w:p>
        </w:tc>
        <w:tc>
          <w:tcPr>
            <w:tcW w:type="pct" w:w="20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พยาบาลจิตเวช/นักจิตวิทยา</w:t>
            </w:r>
          </w:p>
        </w:tc>
        <w:tc>
          <w:tcPr>
            <w:tcW w:type="pct" w:w="23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ทดสอบหลังเรียน ≥80%</w:t>
            </w:r>
          </w:p>
        </w:tc>
      </w:tr>
      <w:tr>
        <w:trPr>
          <w:tblHeader w:val="false"/>
        </w:trPr>
        <w:tc>
          <w:tcPr>
            <w:tcW w:type="pct" w:w="15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โมดูล 2 Role-play</w:t>
            </w:r>
          </w:p>
        </w:tc>
        <w:tc>
          <w:tcPr>
            <w:tcW w:type="pct" w:w="30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ฝึกสื่อสารกับพยาบาลพี่เลี้ยง</w:t>
            </w:r>
          </w:p>
        </w:tc>
        <w:tc>
          <w:tcPr>
            <w:tcW w:type="pct" w:w="12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สัปดาห์ 1-2</w:t>
            </w:r>
          </w:p>
        </w:tc>
        <w:tc>
          <w:tcPr>
            <w:tcW w:type="pct" w:w="20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หัวหน้าวอร์ด</w:t>
            </w:r>
          </w:p>
        </w:tc>
        <w:tc>
          <w:tcPr>
            <w:tcW w:type="pct" w:w="23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Checklist สังเกตพฤติกรรม</w:t>
            </w:r>
          </w:p>
        </w:tc>
      </w:tr>
      <w:tr>
        <w:trPr>
          <w:tblHeader w:val="false"/>
        </w:trPr>
        <w:tc>
          <w:tcPr>
            <w:tcW w:type="pct" w:w="15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โมดูล 3 เครื่องมือประเมิน</w:t>
            </w:r>
          </w:p>
        </w:tc>
        <w:tc>
          <w:tcPr>
            <w:tcW w:type="pct" w:w="30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ฝึกใช้ GDS-15 และ Risk Assessment</w:t>
            </w:r>
          </w:p>
        </w:tc>
        <w:tc>
          <w:tcPr>
            <w:tcW w:type="pct" w:w="12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สัปดาห์ 2</w:t>
            </w:r>
          </w:p>
        </w:tc>
        <w:tc>
          <w:tcPr>
            <w:tcW w:type="pct" w:w="20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พยาบาลจิตเวช</w:t>
            </w:r>
          </w:p>
        </w:tc>
        <w:tc>
          <w:tcPr>
            <w:tcW w:type="pct" w:w="23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สอบปฏิบัติกับเคสจำลอง</w:t>
            </w:r>
          </w:p>
        </w:tc>
      </w:tr>
      <w:tr>
        <w:trPr>
          <w:tblHeader w:val="false"/>
        </w:trPr>
        <w:tc>
          <w:tcPr>
            <w:tcW w:type="pct" w:w="15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โมดูล 4 ปฏิบัติจริง</w:t>
            </w:r>
          </w:p>
        </w:tc>
        <w:tc>
          <w:tcPr>
            <w:tcW w:type="pct" w:w="30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ดูแลเคสจริงใต้การกำกับ</w:t>
            </w:r>
          </w:p>
        </w:tc>
        <w:tc>
          <w:tcPr>
            <w:tcW w:type="pct" w:w="12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สัปดาห์ 3-6</w:t>
            </w:r>
          </w:p>
        </w:tc>
        <w:tc>
          <w:tcPr>
            <w:tcW w:type="pct" w:w="20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พยาบาลประจำวอร์ด</w:t>
            </w:r>
          </w:p>
        </w:tc>
        <w:tc>
          <w:tcPr>
            <w:tcW w:type="pct" w:w="23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Preceptor Evaluation Form</w:t>
            </w:r>
          </w:p>
        </w:tc>
      </w:tr>
      <w:tr>
        <w:trPr>
          <w:tblHeader w:val="false"/>
        </w:trPr>
        <w:tc>
          <w:tcPr>
            <w:tcW w:type="pct" w:w="15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ประเมินรวม</w:t>
            </w:r>
          </w:p>
        </w:tc>
        <w:tc>
          <w:tcPr>
            <w:tcW w:type="pct" w:w="30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สรุปผลและ Feedback</w:t>
            </w:r>
          </w:p>
        </w:tc>
        <w:tc>
          <w:tcPr>
            <w:tcW w:type="pct" w:w="12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สัปดาห์ 6</w:t>
            </w:r>
          </w:p>
        </w:tc>
        <w:tc>
          <w:tcPr>
            <w:tcW w:type="pct" w:w="20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หัวหน้าแผนก</w:t>
            </w:r>
          </w:p>
        </w:tc>
        <w:tc>
          <w:tcPr>
            <w:tcW w:type="pct" w:w="23%"/>
            <w:shd w:fill="auto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ผ่าน/ไม่ผ่านตาม Competency</w:t>
            </w:r>
          </w:p>
        </w:tc>
      </w:tr>
    </w:tbl>
    <w:p>
      <w:pPr>
        <w:pBdr>
          <w:top w:val="single" w:color="CCCCCC" w:sz="4" w:space="4"/>
        </w:pBdr>
        <w:spacing w:before="300"/>
      </w:pPr>
      <w:r>
        <w:rPr>
          <w:rFonts w:ascii="Leelawadee UI" w:cs="Leelawadee UI" w:eastAsia="Leelawadee UI" w:hAnsi="Leelawadee UI"/>
        </w:rPr>
        <w:t xml:space="preserve"/>
      </w:r>
    </w:p>
    <w:p>
      <w:pPr>
        <w:spacing w:before="120"/>
      </w:pPr>
      <w:r>
        <w:rPr>
          <w:rFonts w:ascii="Leelawadee UI" w:cs="Leelawadee UI" w:eastAsia="Leelawadee UI" w:hAnsi="Leelawadee UI"/>
          <w:i/>
          <w:iCs/>
          <w:color w:val="4A4A4A"/>
          <w:sz w:val="16"/>
          <w:szCs w:val="16"/>
        </w:rPr>
        <w:t xml:space="preserve">จัดทำเพื่อใช้ภายในหน่วยงาน · ปรับเนื้อหาและระยะเวลาได้ตามบริบทของแผนกจริง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2026-09-09T02:48:29.167Z</dcterms:created>
  <dcterms:modified xsi:type="dcterms:W3CDTF">2026-09-09T02:48:29.179Z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