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7258"/>
      </w:tblGrid>
      <w:tr w:rsidR="000D4D0A" w:rsidRPr="001B13DD" w14:paraId="633B945A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B47E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FECC" w14:textId="08B19290" w:rsidR="000D4D0A" w:rsidRPr="008F0176" w:rsidRDefault="008F0176" w:rsidP="00EF2467">
            <w:pPr>
              <w:pStyle w:val="Default"/>
              <w:jc w:val="thaiDistribute"/>
              <w:rPr>
                <w:b/>
                <w:bCs/>
                <w:sz w:val="32"/>
                <w:szCs w:val="32"/>
              </w:rPr>
            </w:pPr>
            <w:r w:rsidRPr="008F0176">
              <w:rPr>
                <w:b/>
                <w:bCs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8F0176">
              <w:rPr>
                <w:b/>
                <w:bCs/>
                <w:sz w:val="32"/>
                <w:szCs w:val="32"/>
                <w:cs/>
              </w:rPr>
              <w:t>ภิ</w:t>
            </w:r>
            <w:proofErr w:type="spellEnd"/>
            <w:r w:rsidRPr="008F0176">
              <w:rPr>
                <w:b/>
                <w:bCs/>
                <w:sz w:val="32"/>
                <w:szCs w:val="32"/>
                <w:cs/>
              </w:rPr>
              <w:t>บาล (</w:t>
            </w:r>
            <w:r w:rsidRPr="008F0176">
              <w:rPr>
                <w:b/>
                <w:bCs/>
                <w:sz w:val="32"/>
                <w:szCs w:val="32"/>
              </w:rPr>
              <w:t>Governance Excellence)</w:t>
            </w:r>
          </w:p>
        </w:tc>
      </w:tr>
      <w:tr w:rsidR="000D4D0A" w:rsidRPr="001B13DD" w14:paraId="61E6CD67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1C08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</w:t>
            </w:r>
            <w:r w:rsidR="0007723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48DB" w14:textId="69681E15" w:rsidR="000D4D0A" w:rsidRPr="008F0176" w:rsidRDefault="008F0176" w:rsidP="00FC362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F017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13. </w:t>
            </w:r>
            <w:r w:rsidRPr="008F017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การบริหารจัดการด้านการเงินการคลังสุขภาพ</w:t>
            </w:r>
          </w:p>
        </w:tc>
      </w:tr>
      <w:tr w:rsidR="000D4D0A" w:rsidRPr="001B13DD" w14:paraId="120FFC73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CC12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BEB5" w14:textId="7714970A" w:rsidR="000D4D0A" w:rsidRPr="00EF2467" w:rsidRDefault="008F0176" w:rsidP="00EF2467">
            <w:pPr>
              <w:pStyle w:val="Default"/>
              <w:jc w:val="thaiDistribute"/>
              <w:rPr>
                <w:b/>
                <w:bCs/>
                <w:sz w:val="32"/>
                <w:szCs w:val="32"/>
              </w:rPr>
            </w:pPr>
            <w:r w:rsidRPr="008F0176">
              <w:rPr>
                <w:b/>
                <w:bCs/>
                <w:sz w:val="32"/>
                <w:szCs w:val="32"/>
                <w:cs/>
              </w:rPr>
              <w:t>3</w:t>
            </w:r>
            <w:r w:rsidRPr="008F0176">
              <w:rPr>
                <w:b/>
                <w:bCs/>
                <w:sz w:val="32"/>
                <w:szCs w:val="32"/>
              </w:rPr>
              <w:t xml:space="preserve">8. </w:t>
            </w:r>
            <w:r w:rsidRPr="008F0176">
              <w:rPr>
                <w:b/>
                <w:bCs/>
                <w:sz w:val="32"/>
                <w:szCs w:val="32"/>
                <w:cs/>
              </w:rPr>
              <w:t xml:space="preserve">โครงการลดความเหลื่อมล้ำของ </w:t>
            </w:r>
            <w:r w:rsidRPr="008F0176">
              <w:rPr>
                <w:b/>
                <w:bCs/>
                <w:sz w:val="32"/>
                <w:szCs w:val="32"/>
              </w:rPr>
              <w:t xml:space="preserve">3 </w:t>
            </w:r>
            <w:r w:rsidRPr="008F0176">
              <w:rPr>
                <w:b/>
                <w:bCs/>
                <w:sz w:val="32"/>
                <w:szCs w:val="32"/>
                <w:cs/>
              </w:rPr>
              <w:t>กองทุน</w:t>
            </w:r>
          </w:p>
        </w:tc>
      </w:tr>
      <w:tr w:rsidR="000D4D0A" w:rsidRPr="001B13DD" w14:paraId="27A1D779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C4B" w14:textId="77777777" w:rsidR="000D4D0A" w:rsidRPr="001B13DD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BA247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3ABA" w14:textId="77777777" w:rsidR="00BA2479" w:rsidRPr="001B13DD" w:rsidRDefault="00BA2479" w:rsidP="00BA247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ประเทศ</w:t>
            </w:r>
          </w:p>
        </w:tc>
      </w:tr>
      <w:tr w:rsidR="000D4D0A" w:rsidRPr="001B13DD" w14:paraId="29C9AD4C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1800" w14:textId="77777777" w:rsidR="000D4D0A" w:rsidRPr="001B13DD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5FB7" w14:textId="3BE19FA4" w:rsidR="002343C4" w:rsidRPr="002343C4" w:rsidRDefault="008F0176" w:rsidP="00077239">
            <w:pPr>
              <w:pStyle w:val="Default"/>
              <w:jc w:val="thaiDistribute"/>
              <w:rPr>
                <w:b/>
                <w:bCs/>
                <w:sz w:val="32"/>
                <w:szCs w:val="32"/>
                <w:cs/>
              </w:rPr>
            </w:pPr>
            <w:r>
              <w:rPr>
                <w:b/>
                <w:bCs/>
                <w:sz w:val="32"/>
                <w:szCs w:val="32"/>
              </w:rPr>
              <w:t>62</w:t>
            </w:r>
            <w:r w:rsidR="002343C4">
              <w:rPr>
                <w:b/>
                <w:bCs/>
                <w:sz w:val="32"/>
                <w:szCs w:val="32"/>
              </w:rPr>
              <w:t xml:space="preserve">. </w:t>
            </w:r>
            <w:r w:rsidR="002343C4">
              <w:rPr>
                <w:rFonts w:hint="cs"/>
                <w:b/>
                <w:bCs/>
                <w:sz w:val="32"/>
                <w:szCs w:val="32"/>
                <w:cs/>
              </w:rPr>
              <w:t>ความแตกต่างอัตราการใช้สิทธิ</w:t>
            </w:r>
            <w:r w:rsidR="00DD2096">
              <w:rPr>
                <w:b/>
                <w:bCs/>
                <w:sz w:val="32"/>
                <w:szCs w:val="32"/>
              </w:rPr>
              <w:t xml:space="preserve"> </w:t>
            </w:r>
            <w:r w:rsidR="002343C4">
              <w:rPr>
                <w:b/>
                <w:bCs/>
                <w:sz w:val="32"/>
                <w:szCs w:val="32"/>
              </w:rPr>
              <w:t xml:space="preserve">(compliance rate) </w:t>
            </w:r>
            <w:r w:rsidR="002343C4">
              <w:rPr>
                <w:rFonts w:hint="cs"/>
                <w:b/>
                <w:bCs/>
                <w:sz w:val="32"/>
                <w:szCs w:val="32"/>
                <w:cs/>
              </w:rPr>
              <w:t xml:space="preserve">เมื่อไปใช้บริการผู้ป่วยใน </w:t>
            </w:r>
            <w:r w:rsidR="002343C4">
              <w:rPr>
                <w:b/>
                <w:bCs/>
                <w:sz w:val="32"/>
                <w:szCs w:val="32"/>
              </w:rPr>
              <w:t xml:space="preserve">(IP) </w:t>
            </w:r>
            <w:r w:rsidR="002343C4">
              <w:rPr>
                <w:rFonts w:hint="cs"/>
                <w:b/>
                <w:bCs/>
                <w:sz w:val="32"/>
                <w:szCs w:val="32"/>
                <w:cs/>
              </w:rPr>
              <w:t xml:space="preserve">ของผู้มีสิทธิใน </w:t>
            </w:r>
            <w:r w:rsidR="002343C4">
              <w:rPr>
                <w:b/>
                <w:bCs/>
                <w:sz w:val="32"/>
                <w:szCs w:val="32"/>
              </w:rPr>
              <w:t xml:space="preserve">3 </w:t>
            </w:r>
            <w:r w:rsidR="002343C4">
              <w:rPr>
                <w:rFonts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D4D0A" w:rsidRPr="001B13DD" w14:paraId="1F59CEEA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0D4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</w:t>
            </w:r>
            <w:r w:rsidR="00F1113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7526" w14:textId="77777777" w:rsidR="00077239" w:rsidRPr="00077239" w:rsidRDefault="00077239" w:rsidP="0007723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60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การใช้สิทธิ (</w:t>
            </w:r>
            <w:r w:rsidRPr="00EC609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Compliance Rate : CR)</w:t>
            </w:r>
            <w:r w:rsidRPr="0007723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77239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การใช้สิทธิของผู้มีสิทธิใน 3 ระบบหลัก ได้แก่ ระบบสวัสดิการรักษาพยาบาลข้าราชการ  ประกันสังคม และหลักประกันสุขภาพแห่งชาติ เมื่อเข้ารับ</w:t>
            </w:r>
            <w:r w:rsidRPr="00EC6096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บริการแบบผู้ป่วยใน</w:t>
            </w:r>
            <w:r w:rsidRPr="000772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เทียบกับผู้ที่ใช้บริการแบบผู้ป่วยในที่มีสิทธิในระบบนั้น ๆ  จากการสำรวจภายในช่วงเวลาที่กำหนด</w:t>
            </w:r>
          </w:p>
          <w:p w14:paraId="417F0E5E" w14:textId="77777777" w:rsidR="002343C4" w:rsidRDefault="00077239" w:rsidP="0007723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C60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ความแตกต่างการใช้สิทธิ</w:t>
            </w:r>
            <w:r w:rsidRPr="000772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 ค่าเฉลี่ยของ ความแตกต่างอัตราการใช้สิทธิใน</w:t>
            </w:r>
          </w:p>
          <w:p w14:paraId="425704A4" w14:textId="77777777" w:rsidR="009829E0" w:rsidRPr="00EB4814" w:rsidRDefault="00077239" w:rsidP="0007723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77239">
              <w:rPr>
                <w:rFonts w:ascii="TH SarabunPSK" w:hAnsi="TH SarabunPSK" w:cs="TH SarabunPSK"/>
                <w:sz w:val="32"/>
                <w:szCs w:val="32"/>
                <w:cs/>
              </w:rPr>
              <w:t>แต่ละระบบเทียบกับอัตราการใช้สิทธิภาพรวมประเทศ  ของทั้ง 3 ระบบ</w:t>
            </w:r>
          </w:p>
        </w:tc>
      </w:tr>
      <w:tr w:rsidR="000D4D0A" w:rsidRPr="001B13DD" w14:paraId="0C8E7141" w14:textId="77777777" w:rsidTr="00DF3C6A"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977C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1B13D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86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720"/>
              <w:gridCol w:w="1701"/>
              <w:gridCol w:w="1701"/>
              <w:gridCol w:w="1808"/>
              <w:gridCol w:w="1701"/>
            </w:tblGrid>
            <w:tr w:rsidR="007D6A40" w:rsidRPr="001B13DD" w14:paraId="153FD854" w14:textId="77777777" w:rsidTr="00DF3C6A">
              <w:trPr>
                <w:jc w:val="center"/>
              </w:trPr>
              <w:tc>
                <w:tcPr>
                  <w:tcW w:w="1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75DE5" w14:textId="77777777" w:rsidR="007D6A40" w:rsidRPr="001B13DD" w:rsidRDefault="007D6A40" w:rsidP="007D6A4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99D89B" w14:textId="77777777" w:rsidR="007D6A40" w:rsidRPr="001B13DD" w:rsidRDefault="007D6A40" w:rsidP="007D6A4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1797E9" w14:textId="77777777" w:rsidR="007D6A40" w:rsidRPr="001B13DD" w:rsidRDefault="007D6A40" w:rsidP="007D6A4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2BAB2C" w14:textId="77777777" w:rsidR="007D6A40" w:rsidRPr="001B13DD" w:rsidRDefault="007D6A40" w:rsidP="007D6A4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52958B" w14:textId="77777777" w:rsidR="007D6A40" w:rsidRPr="001B13DD" w:rsidRDefault="007D6A40" w:rsidP="007D6A4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7D6A40" w:rsidRPr="001B13DD" w14:paraId="08EC3A2F" w14:textId="77777777" w:rsidTr="00DF3C6A">
              <w:trPr>
                <w:jc w:val="center"/>
              </w:trPr>
              <w:tc>
                <w:tcPr>
                  <w:tcW w:w="1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5AD865" w14:textId="77777777" w:rsidR="007D6A40" w:rsidRPr="001B13DD" w:rsidRDefault="007D6A40" w:rsidP="007D6A4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7C3645" w14:textId="77777777" w:rsidR="007D6A40" w:rsidRDefault="009639F7" w:rsidP="009639F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ไม่เกิน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1.5%</w:t>
                  </w:r>
                </w:p>
                <w:p w14:paraId="312C7847" w14:textId="0FC4D75E" w:rsidR="009639F7" w:rsidRPr="001B13DD" w:rsidRDefault="009639F7" w:rsidP="009639F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31718C" w14:textId="77777777" w:rsidR="007D6A40" w:rsidRDefault="007D6A40" w:rsidP="007D6A4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ไม่เกิน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1.5%</w:t>
                  </w:r>
                </w:p>
                <w:p w14:paraId="120F109D" w14:textId="55BA2C5A" w:rsidR="009639F7" w:rsidRPr="001B13DD" w:rsidRDefault="009639F7" w:rsidP="007D6A4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FD2230" w14:textId="42398233" w:rsidR="009639F7" w:rsidRPr="001B13DD" w:rsidRDefault="007D6A40" w:rsidP="005261F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ไม่เกิน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1.5%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56C66" w14:textId="77777777" w:rsidR="007D6A40" w:rsidRDefault="007D6A40" w:rsidP="007D6A4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ไม่เกิน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1.5%</w:t>
                  </w:r>
                </w:p>
              </w:tc>
            </w:tr>
          </w:tbl>
          <w:p w14:paraId="6980C83B" w14:textId="77777777" w:rsidR="000D4D0A" w:rsidRPr="001B13DD" w:rsidRDefault="000D4D0A" w:rsidP="00FC362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D4D0A" w:rsidRPr="001B13DD" w14:paraId="46C9EADA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7AB7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AFD9" w14:textId="77777777" w:rsidR="000D4D0A" w:rsidRPr="00FF648F" w:rsidRDefault="00FF648F" w:rsidP="006A3E7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val="en-GB"/>
              </w:rPr>
              <w:t>เพื่อ</w:t>
            </w:r>
            <w:r w:rsidR="006A3E7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val="en-GB"/>
              </w:rPr>
              <w:t>ลดความเหลื่อมล้ำ</w:t>
            </w:r>
            <w:r w:rsidR="004B16F4"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ในการ</w:t>
            </w:r>
            <w:r w:rsidR="009E747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val="en-GB"/>
              </w:rPr>
              <w:t>ใช้สิทธิ</w:t>
            </w:r>
            <w:r w:rsidR="004B16F4" w:rsidRPr="001B13D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ของแต่ละระบบหลักประกันสุขภาพภาครัฐ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val="en-GB"/>
              </w:rPr>
              <w:t xml:space="preserve"> </w:t>
            </w:r>
          </w:p>
        </w:tc>
      </w:tr>
      <w:tr w:rsidR="000D4D0A" w:rsidRPr="001B13DD" w14:paraId="76297DE0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90ED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A4DE" w14:textId="77777777" w:rsidR="004B16F4" w:rsidRPr="001B13DD" w:rsidRDefault="003A2F11" w:rsidP="004B16F4">
            <w:pPr>
              <w:tabs>
                <w:tab w:val="left" w:pos="4335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ประชากร</w:t>
            </w:r>
            <w:r w:rsidR="00B1728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ผู้มีสิทธิ</w:t>
            </w:r>
            <w:r w:rsidR="004B16F4" w:rsidRPr="001B13D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ระบบหลักประกันสุขภาพภาครัฐ </w:t>
            </w:r>
            <w:r w:rsidR="004B16F4" w:rsidRPr="001B13D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="004B16F4" w:rsidRPr="001B13D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ระบบหลัก ได้แก่</w:t>
            </w:r>
          </w:p>
          <w:p w14:paraId="1190D183" w14:textId="77777777" w:rsidR="004B16F4" w:rsidRPr="001B13DD" w:rsidRDefault="004B16F4" w:rsidP="004B16F4">
            <w:pPr>
              <w:numPr>
                <w:ilvl w:val="0"/>
                <w:numId w:val="2"/>
              </w:numPr>
              <w:tabs>
                <w:tab w:val="left" w:pos="4335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ระบบสวัสดิการรักษาพยาบาลข้าราชการ</w:t>
            </w:r>
            <w:r w:rsidR="00B1728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(CS)</w:t>
            </w:r>
          </w:p>
          <w:p w14:paraId="7BC2419D" w14:textId="77777777" w:rsidR="004B16F4" w:rsidRDefault="004B16F4" w:rsidP="004B16F4">
            <w:pPr>
              <w:numPr>
                <w:ilvl w:val="0"/>
                <w:numId w:val="2"/>
              </w:numPr>
              <w:tabs>
                <w:tab w:val="left" w:pos="4335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ระบบประกันสังคม</w:t>
            </w:r>
            <w:r w:rsidR="00B1728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B17284">
              <w:rPr>
                <w:rFonts w:ascii="TH SarabunPSK" w:hAnsi="TH SarabunPSK" w:cs="TH SarabunPSK"/>
                <w:color w:val="000000"/>
                <w:sz w:val="32"/>
                <w:szCs w:val="32"/>
              </w:rPr>
              <w:t>(SS)</w:t>
            </w:r>
          </w:p>
          <w:p w14:paraId="665C189F" w14:textId="77777777" w:rsidR="000D4D0A" w:rsidRPr="004B16F4" w:rsidRDefault="004B16F4" w:rsidP="004B16F4">
            <w:pPr>
              <w:numPr>
                <w:ilvl w:val="0"/>
                <w:numId w:val="2"/>
              </w:numPr>
              <w:tabs>
                <w:tab w:val="left" w:pos="4335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4B16F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ระบบประกันสุขภาพแห่งชาติ</w:t>
            </w:r>
            <w:r w:rsidR="00B1728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B17284">
              <w:rPr>
                <w:rFonts w:ascii="TH SarabunPSK" w:hAnsi="TH SarabunPSK" w:cs="TH SarabunPSK"/>
                <w:color w:val="000000"/>
                <w:sz w:val="32"/>
                <w:szCs w:val="32"/>
              </w:rPr>
              <w:t>(UC)</w:t>
            </w:r>
          </w:p>
        </w:tc>
      </w:tr>
      <w:tr w:rsidR="004B16F4" w:rsidRPr="001B13DD" w14:paraId="1EE5C90C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ECB8" w14:textId="77777777" w:rsidR="004B16F4" w:rsidRPr="001B13DD" w:rsidRDefault="004B16F4" w:rsidP="004B16F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0984" w14:textId="76B80860" w:rsidR="004B16F4" w:rsidRPr="005A7FDB" w:rsidRDefault="009E747F" w:rsidP="006A3E76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E74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ผลการสำรวจอนามัยและสวัสดิการ (</w:t>
            </w:r>
            <w:r w:rsidRPr="009E747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Health Welfare Survey) </w:t>
            </w:r>
            <w:r w:rsidRPr="009E74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โดยสำนักงานสถิติแห่งชาติ   (สำรวจทุก 2 ปีคู่</w:t>
            </w:r>
            <w:r w:rsidR="009639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ปี </w:t>
            </w:r>
            <w:r w:rsidR="009639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2560, 2562, 2564</w:t>
            </w:r>
            <w:r w:rsidR="006A3E7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ได้ผลการวิเคราะห์ในปีคี่</w:t>
            </w:r>
            <w:r w:rsidR="009639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ปี </w:t>
            </w:r>
            <w:r w:rsidR="009639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2561, 2563, 2565</w:t>
            </w:r>
            <w:r w:rsidR="001136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136E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ตามลำดับ</w:t>
            </w:r>
            <w:r w:rsidR="001136EC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4B16F4" w:rsidRPr="001B13DD" w14:paraId="59536A03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9EC2" w14:textId="77777777" w:rsidR="004B16F4" w:rsidRPr="001B13DD" w:rsidRDefault="004B16F4" w:rsidP="004B16F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6AAA" w14:textId="77777777" w:rsidR="004B16F4" w:rsidRDefault="009E747F" w:rsidP="004B16F4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E74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สำรวจอนามัยและสวัสดิการ (</w:t>
            </w:r>
            <w:r w:rsidRPr="009E747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Health Welfare Survey) </w:t>
            </w:r>
            <w:r w:rsidRPr="009E74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โดยสำนักงานสถิติแห่งชาติ   </w:t>
            </w:r>
          </w:p>
          <w:p w14:paraId="2CF1F511" w14:textId="77777777" w:rsidR="009E747F" w:rsidRPr="001B13DD" w:rsidRDefault="009E747F" w:rsidP="004B16F4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วิเคราะห์โดย มูลนิธิเพื่อการพัฒนานโยบายสุขภาพระหว่างประเทศ</w:t>
            </w:r>
          </w:p>
        </w:tc>
      </w:tr>
      <w:tr w:rsidR="000D4D0A" w:rsidRPr="001B13DD" w14:paraId="67828B98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D0F3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EEA4" w14:textId="77777777" w:rsidR="00B17284" w:rsidRDefault="00B17284" w:rsidP="002D4DB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-อัตราการใช้สิทธิ ของแต่ละสิทธิ 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CR-CS,  CR-SS, CR-UC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5981E6DD" w14:textId="77777777" w:rsidR="002D4DB8" w:rsidRPr="001B13DD" w:rsidRDefault="00B17284" w:rsidP="00335140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-อัตราการใช้สิทธิภาพรวมประเทศ 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CR-T</w:t>
            </w:r>
          </w:p>
        </w:tc>
      </w:tr>
      <w:tr w:rsidR="000D4D0A" w:rsidRPr="001B13DD" w14:paraId="5DB818C2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21DC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AE05" w14:textId="77777777" w:rsidR="000D4D0A" w:rsidRDefault="00B17284" w:rsidP="002D4DB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ความต่างอัตราการใช้สิทธิแต่ละสิทธิเทียบกับอัตราการใช้สิทธิภาพรวมประเทศ</w:t>
            </w:r>
          </w:p>
          <w:p w14:paraId="51A5B907" w14:textId="77777777" w:rsidR="00B17284" w:rsidRPr="001B13DD" w:rsidRDefault="00B17284" w:rsidP="002D4DB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CRdif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CS,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CRdif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-SS,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CRdif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-UC</w:t>
            </w:r>
          </w:p>
        </w:tc>
      </w:tr>
      <w:tr w:rsidR="000D4D0A" w:rsidRPr="001B13DD" w14:paraId="36815D91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4CC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ECA6" w14:textId="77777777" w:rsidR="000D4D0A" w:rsidRPr="001B13DD" w:rsidRDefault="00B17284" w:rsidP="00B17284">
            <w:pPr>
              <w:spacing w:after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ค่าเฉลี่ย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CRdif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CS,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CRdif</w:t>
            </w:r>
            <w:proofErr w:type="spellEnd"/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-SS,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CRdif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-UC }</w:t>
            </w:r>
          </w:p>
        </w:tc>
      </w:tr>
      <w:tr w:rsidR="000D4D0A" w:rsidRPr="001B13DD" w14:paraId="6DB9AFD0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6589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F4C9" w14:textId="6DEDFBDF" w:rsidR="000D4D0A" w:rsidRPr="001B13DD" w:rsidRDefault="00092A06" w:rsidP="00FC362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82550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สิ้นปีงบประมาณ</w:t>
            </w:r>
            <w:r w:rsidR="006A3E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9639F7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ปีคี่</w:t>
            </w:r>
            <w:r w:rsidR="009639F7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9639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ในปี </w:t>
            </w:r>
            <w:r w:rsidR="009639F7">
              <w:rPr>
                <w:rFonts w:ascii="TH SarabunPSK" w:hAnsi="TH SarabunPSK" w:cs="TH SarabunPSK"/>
                <w:sz w:val="32"/>
                <w:szCs w:val="32"/>
              </w:rPr>
              <w:t xml:space="preserve">2563 </w:t>
            </w:r>
            <w:r w:rsidR="009639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และปี </w:t>
            </w:r>
            <w:r w:rsidR="009639F7">
              <w:rPr>
                <w:rFonts w:ascii="TH SarabunPSK" w:hAnsi="TH SarabunPSK" w:cs="TH SarabunPSK"/>
                <w:sz w:val="32"/>
                <w:szCs w:val="32"/>
              </w:rPr>
              <w:t>2565</w:t>
            </w:r>
          </w:p>
        </w:tc>
      </w:tr>
      <w:tr w:rsidR="000D4D0A" w:rsidRPr="001B13DD" w14:paraId="44CAECD8" w14:textId="77777777" w:rsidTr="00DF3C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668" w:type="dxa"/>
            <w:gridSpan w:val="2"/>
          </w:tcPr>
          <w:p w14:paraId="07C1A3EA" w14:textId="3AB3526D" w:rsidR="009639F7" w:rsidRDefault="008472C9" w:rsidP="009639F7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 </w:t>
            </w:r>
            <w:r w:rsidR="009639F7"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14:paraId="52987FFC" w14:textId="18F20658" w:rsidR="009639F7" w:rsidRPr="005261F7" w:rsidRDefault="009639F7" w:rsidP="005261F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ข้อมูลจาก</w:t>
            </w:r>
            <w:r w:rsid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ผล</w:t>
            </w:r>
            <w:r w:rsidRP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การสำรวจ</w:t>
            </w:r>
            <w:r w:rsidR="005261F7" w:rsidRPr="005261F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5261F7" w:rsidRPr="005261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ปี </w:t>
            </w:r>
            <w:r w:rsidR="005261F7" w:rsidRP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2560</w:t>
            </w:r>
            <w:r w:rsid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5261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ได้ผลการวิเคราะห์ ปี </w:t>
            </w:r>
            <w:r w:rsid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="005261F7" w:rsidRPr="009E74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126"/>
              <w:gridCol w:w="2410"/>
            </w:tblGrid>
            <w:tr w:rsidR="009639F7" w:rsidRPr="001B13DD" w14:paraId="4D955E4A" w14:textId="77777777" w:rsidTr="008247A9">
              <w:tc>
                <w:tcPr>
                  <w:tcW w:w="2405" w:type="dxa"/>
                  <w:shd w:val="clear" w:color="auto" w:fill="auto"/>
                </w:tcPr>
                <w:p w14:paraId="3F72B85F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F17EC7B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3D7E79A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CDCCC45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639F7" w:rsidRPr="001B13DD" w14:paraId="0DB193F9" w14:textId="77777777" w:rsidTr="008247A9">
              <w:tc>
                <w:tcPr>
                  <w:tcW w:w="2405" w:type="dxa"/>
                  <w:shd w:val="clear" w:color="auto" w:fill="auto"/>
                </w:tcPr>
                <w:p w14:paraId="764F13F2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7DB1CF36" w14:textId="0B64AC66" w:rsidR="00BC4C16" w:rsidRDefault="00F25BD7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&lt;=1.5%</w:t>
                  </w:r>
                  <w:r w:rsidR="00BC4C1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</w:t>
                  </w:r>
                  <w:r w:rsidR="00BC4C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รายงานผลการวิเคราะห์ข้อมูลจากการสำรวจปี</w:t>
                  </w:r>
                  <w:r w:rsidR="00BC4C1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2560)</w:t>
                  </w:r>
                  <w:r w:rsidR="00BC4C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52BD2DAA" w14:textId="63D501C5" w:rsidR="00BC4C16" w:rsidRPr="00BC4C16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สำนักงานสถิติแห่งชาติ อยู่ระหว่างการสำรวจปี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2562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E8DAB40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681C113D" w14:textId="77777777" w:rsidR="00BC4C16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&lt;=1.5% 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รายงานผลการวิเคราะห์ข้อมูลจากการสำรวจปี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2560)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5BEF7D95" w14:textId="17CE3BB6" w:rsidR="009639F7" w:rsidRPr="001B13DD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สำนักงานสถิติแห่งชาติ อยู่ระหว่างการสำรวจปี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2562</w:t>
                  </w:r>
                </w:p>
              </w:tc>
            </w:tr>
          </w:tbl>
          <w:p w14:paraId="70867EF0" w14:textId="4C3439A2" w:rsidR="009639F7" w:rsidRPr="001B13DD" w:rsidRDefault="009639F7" w:rsidP="009639F7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5261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261F7" w:rsidRP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ข้อมูลจาก</w:t>
            </w:r>
            <w:r w:rsid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ผล</w:t>
            </w:r>
            <w:r w:rsidR="005261F7" w:rsidRP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การสำรวจ</w:t>
            </w:r>
            <w:r w:rsidR="005261F7" w:rsidRPr="005261F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5261F7" w:rsidRPr="005261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ปี </w:t>
            </w:r>
            <w:r w:rsidR="005261F7" w:rsidRP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</w:t>
            </w:r>
            <w:r w:rsid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 </w:t>
            </w:r>
            <w:r w:rsidR="005261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ได้ผลการวิเคราะห์ ปี </w:t>
            </w:r>
            <w:r w:rsid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2563</w:t>
            </w:r>
            <w:r w:rsidR="005261F7" w:rsidRPr="009E74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126"/>
              <w:gridCol w:w="2410"/>
            </w:tblGrid>
            <w:tr w:rsidR="009639F7" w:rsidRPr="001B13DD" w14:paraId="1200FA62" w14:textId="77777777" w:rsidTr="008247A9">
              <w:tc>
                <w:tcPr>
                  <w:tcW w:w="2405" w:type="dxa"/>
                  <w:shd w:val="clear" w:color="auto" w:fill="auto"/>
                </w:tcPr>
                <w:p w14:paraId="72C0A1F7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3126668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3EF905A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881AE1B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639F7" w:rsidRPr="001B13DD" w14:paraId="38286B3A" w14:textId="77777777" w:rsidTr="008247A9">
              <w:tc>
                <w:tcPr>
                  <w:tcW w:w="2405" w:type="dxa"/>
                  <w:shd w:val="clear" w:color="auto" w:fill="auto"/>
                </w:tcPr>
                <w:p w14:paraId="4A923A66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726123B1" w14:textId="77777777" w:rsidR="009639F7" w:rsidRDefault="009639F7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&lt;=1.5%</w:t>
                  </w:r>
                </w:p>
                <w:p w14:paraId="66D728C1" w14:textId="1073D2C2" w:rsidR="00BC4C16" w:rsidRPr="001B13DD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รายงานผลการวิเคราะห์ข้อมูลจากการสำรวจปี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2562)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7435BD0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257B3B67" w14:textId="77777777" w:rsidR="00BC4C16" w:rsidRDefault="00BC4C16" w:rsidP="00BC4C16">
                  <w:pPr>
                    <w:spacing w:after="0"/>
                    <w:ind w:left="-102" w:right="-107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&lt;=1.5%</w:t>
                  </w:r>
                </w:p>
                <w:p w14:paraId="1E262364" w14:textId="466909F5" w:rsidR="00BC4C16" w:rsidRPr="001B13DD" w:rsidRDefault="00BC4C16" w:rsidP="00BC4C16">
                  <w:pPr>
                    <w:spacing w:after="0"/>
                    <w:ind w:left="-102" w:right="-107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รายงานผลการวิเคราะห์ข้อมูลจากการสำรวจปี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2562)</w:t>
                  </w:r>
                </w:p>
              </w:tc>
            </w:tr>
          </w:tbl>
          <w:p w14:paraId="01A656E2" w14:textId="740E5F19" w:rsidR="009639F7" w:rsidRPr="001B13DD" w:rsidRDefault="009639F7" w:rsidP="009639F7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5261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261F7" w:rsidRP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ข้อมูลจาก</w:t>
            </w:r>
            <w:r w:rsid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ผล</w:t>
            </w:r>
            <w:r w:rsidR="005261F7" w:rsidRP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การสำรวจ</w:t>
            </w:r>
            <w:r w:rsidR="005261F7" w:rsidRPr="005261F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5261F7" w:rsidRPr="005261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ปี </w:t>
            </w:r>
            <w:r w:rsidR="005261F7" w:rsidRP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</w:t>
            </w:r>
            <w:r w:rsid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 </w:t>
            </w:r>
            <w:r w:rsidR="005261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ได้ผลการวิเคราะห์ ปี </w:t>
            </w:r>
            <w:r w:rsid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2563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126"/>
              <w:gridCol w:w="2410"/>
            </w:tblGrid>
            <w:tr w:rsidR="009639F7" w:rsidRPr="001B13DD" w14:paraId="523004BF" w14:textId="77777777" w:rsidTr="008247A9">
              <w:tc>
                <w:tcPr>
                  <w:tcW w:w="2405" w:type="dxa"/>
                  <w:shd w:val="clear" w:color="auto" w:fill="auto"/>
                </w:tcPr>
                <w:p w14:paraId="655FC22A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5A8A997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27ECD1D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58FA168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BC4C16" w:rsidRPr="001B13DD" w14:paraId="6930F014" w14:textId="77777777" w:rsidTr="008247A9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1732F7CB" w14:textId="77777777" w:rsidR="00BC4C16" w:rsidRPr="001B13DD" w:rsidRDefault="00BC4C16" w:rsidP="00BC4C1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13F3ECED" w14:textId="6AB34602" w:rsidR="00BC4C16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&lt;=1.5% 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รายงานผลการวิเคราะห์ข้อมูลจากการสำรวจปี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2562)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1958E983" w14:textId="23476855" w:rsidR="00BC4C16" w:rsidRPr="001B13DD" w:rsidRDefault="00BC4C16" w:rsidP="00BC4C16">
                  <w:pPr>
                    <w:spacing w:after="0"/>
                    <w:ind w:left="-110" w:firstLine="11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สำนักงานสถิติแห่งชาติ อยู่ระหว่างการสำรวจปี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2564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302F400" w14:textId="77777777" w:rsidR="00BC4C16" w:rsidRPr="001B13DD" w:rsidRDefault="00BC4C16" w:rsidP="00BC4C1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38BD444C" w14:textId="4089D2FE" w:rsidR="00BC4C16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&lt;=1.5% 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รายงานผลการวิเคราะห์ข้อมูลจากการสำรวจปี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2562)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23575A53" w14:textId="40C4B636" w:rsidR="00BC4C16" w:rsidRPr="001B13DD" w:rsidRDefault="00BC4C16" w:rsidP="00BC4C16">
                  <w:pPr>
                    <w:spacing w:after="0"/>
                    <w:ind w:left="-10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สำนักงานสถิติแห่งชาติ อยู่ระหว่างการสำรวจปี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2564</w:t>
                  </w:r>
                </w:p>
              </w:tc>
            </w:tr>
          </w:tbl>
          <w:p w14:paraId="15771C84" w14:textId="2AD7350E" w:rsidR="009639F7" w:rsidRPr="005261F7" w:rsidRDefault="009639F7" w:rsidP="009639F7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5261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261F7" w:rsidRP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ข้อมูลจาก</w:t>
            </w:r>
            <w:r w:rsid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ผล</w:t>
            </w:r>
            <w:r w:rsidR="005261F7" w:rsidRPr="005261F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การสำรวจ</w:t>
            </w:r>
            <w:r w:rsidR="005261F7" w:rsidRPr="005261F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5261F7" w:rsidRPr="005261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ปี </w:t>
            </w:r>
            <w:r w:rsidR="005261F7" w:rsidRP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</w:t>
            </w:r>
            <w:r w:rsid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 </w:t>
            </w:r>
            <w:r w:rsidR="005261F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ได้ผลการวิเคราะห์ ปี </w:t>
            </w:r>
            <w:r w:rsidR="005261F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2565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9639F7" w:rsidRPr="001B13DD" w14:paraId="7211C7A3" w14:textId="77777777" w:rsidTr="009879E3">
              <w:tc>
                <w:tcPr>
                  <w:tcW w:w="2405" w:type="dxa"/>
                  <w:shd w:val="clear" w:color="auto" w:fill="auto"/>
                </w:tcPr>
                <w:p w14:paraId="158DA0FD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565C3C0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C13A5A5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8C67F62" w14:textId="77777777" w:rsidR="009639F7" w:rsidRPr="001B13DD" w:rsidRDefault="009639F7" w:rsidP="009639F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B13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BC4C16" w:rsidRPr="001B13DD" w14:paraId="11B8739A" w14:textId="77777777" w:rsidTr="009879E3">
              <w:tc>
                <w:tcPr>
                  <w:tcW w:w="2405" w:type="dxa"/>
                  <w:shd w:val="clear" w:color="auto" w:fill="auto"/>
                </w:tcPr>
                <w:p w14:paraId="2F24ADEE" w14:textId="77777777" w:rsidR="00BC4C16" w:rsidRPr="001B13DD" w:rsidRDefault="00BC4C16" w:rsidP="00BC4C1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62E7C72B" w14:textId="77777777" w:rsidR="00BC4C16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&lt;=1.5%</w:t>
                  </w:r>
                </w:p>
                <w:p w14:paraId="2D3144BA" w14:textId="43FA5937" w:rsidR="00BC4C16" w:rsidRPr="001B13DD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รายงานผลการวิเคราะห์ข้อมูลจากการสำรวจปี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2564)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6264F10" w14:textId="77777777" w:rsidR="00BC4C16" w:rsidRPr="001B13DD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524C8F0" w14:textId="77777777" w:rsidR="00BC4C16" w:rsidRDefault="00BC4C16" w:rsidP="00BC4C16">
                  <w:pPr>
                    <w:spacing w:after="0"/>
                    <w:ind w:left="-102" w:right="-107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&lt;=1.5%</w:t>
                  </w:r>
                </w:p>
                <w:p w14:paraId="16B3FB32" w14:textId="2FDA6B10" w:rsidR="00BC4C16" w:rsidRPr="001B13DD" w:rsidRDefault="00BC4C16" w:rsidP="00BC4C16">
                  <w:pPr>
                    <w:spacing w:after="0"/>
                    <w:ind w:left="-110" w:right="-112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รายงานผลการวิเคราะห์ข้อมูลจากการสำรวจปี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2564)</w:t>
                  </w:r>
                </w:p>
              </w:tc>
            </w:tr>
          </w:tbl>
          <w:p w14:paraId="6A511CCE" w14:textId="33D1E3A3" w:rsidR="009639F7" w:rsidRPr="009639F7" w:rsidRDefault="009639F7" w:rsidP="009639F7">
            <w:pPr>
              <w:tabs>
                <w:tab w:val="left" w:pos="2518"/>
                <w:tab w:val="left" w:pos="4928"/>
                <w:tab w:val="left" w:pos="7338"/>
              </w:tabs>
              <w:spacing w:after="0"/>
              <w:ind w:left="113"/>
              <w:rPr>
                <w:rFonts w:ascii="TH SarabunPSK" w:hAnsi="TH SarabunPSK" w:cs="TH SarabunPSK"/>
                <w:sz w:val="32"/>
                <w:szCs w:val="32"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1B13D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B13D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0D4D0A" w:rsidRPr="001B13DD" w14:paraId="2EE00115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E46C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E7CB" w14:textId="77777777" w:rsidR="000D4D0A" w:rsidRPr="001B13DD" w:rsidRDefault="00B17284" w:rsidP="00825504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ค่าเฉลี่ย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CRdif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CS,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CRdif</w:t>
            </w:r>
            <w:proofErr w:type="spellEnd"/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-SS,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CRdif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-UC }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&lt;= 1.5</w:t>
            </w:r>
          </w:p>
        </w:tc>
      </w:tr>
      <w:tr w:rsidR="000D4D0A" w:rsidRPr="001B13DD" w14:paraId="4F26BDFA" w14:textId="77777777" w:rsidTr="00DF3C6A">
        <w:trPr>
          <w:trHeight w:val="9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4E28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31F8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D4D0A" w:rsidRPr="00DF3C6A" w14:paraId="51605A05" w14:textId="77777777" w:rsidTr="00DF3C6A">
        <w:trPr>
          <w:trHeight w:val="30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F338" w14:textId="77777777" w:rsidR="000D4D0A" w:rsidRPr="001B13DD" w:rsidRDefault="000D4D0A" w:rsidP="00FC36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652" w:type="dxa"/>
              <w:tblInd w:w="55" w:type="dxa"/>
              <w:tblLayout w:type="fixed"/>
              <w:tblLook w:val="04A0" w:firstRow="1" w:lastRow="0" w:firstColumn="1" w:lastColumn="0" w:noHBand="0" w:noVBand="1"/>
            </w:tblPr>
            <w:tblGrid>
              <w:gridCol w:w="852"/>
              <w:gridCol w:w="880"/>
              <w:gridCol w:w="821"/>
              <w:gridCol w:w="851"/>
              <w:gridCol w:w="850"/>
              <w:gridCol w:w="868"/>
              <w:gridCol w:w="821"/>
              <w:gridCol w:w="709"/>
            </w:tblGrid>
            <w:tr w:rsidR="00DF3C6A" w:rsidRPr="00DF3C6A" w14:paraId="43368EC9" w14:textId="77777777" w:rsidTr="00DF3C6A">
              <w:trPr>
                <w:trHeight w:val="486"/>
              </w:trPr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CC"/>
                  <w:vAlign w:val="bottom"/>
                </w:tcPr>
                <w:p w14:paraId="35496530" w14:textId="77777777" w:rsidR="00DF3C6A" w:rsidRPr="00DF3C6A" w:rsidRDefault="00DF3C6A" w:rsidP="007D6A40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BBC4F8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  <w:t>Baseline</w:t>
                  </w:r>
                </w:p>
                <w:p w14:paraId="4D803276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  <w:cs/>
                    </w:rPr>
                    <w:t xml:space="preserve">ปี </w:t>
                  </w: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  <w:t>58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1CC6F0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  <w:cs/>
                    </w:rPr>
                    <w:t xml:space="preserve">ปี </w:t>
                  </w: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  <w:t>60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08B882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  <w:cs/>
                    </w:rPr>
                    <w:t xml:space="preserve">ปี </w:t>
                  </w: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  <w:t>61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vAlign w:val="bottom"/>
                </w:tcPr>
                <w:p w14:paraId="7605B7E1" w14:textId="77777777" w:rsidR="00DF3C6A" w:rsidRPr="00DF3C6A" w:rsidRDefault="00DF3C6A" w:rsidP="007D6A40">
                  <w:pPr>
                    <w:pStyle w:val="Heading1"/>
                    <w:ind w:left="-109"/>
                    <w:rPr>
                      <w:sz w:val="28"/>
                      <w:szCs w:val="28"/>
                    </w:rPr>
                  </w:pPr>
                  <w:r w:rsidRPr="00DF3C6A">
                    <w:rPr>
                      <w:color w:val="000000"/>
                      <w:sz w:val="28"/>
                      <w:szCs w:val="28"/>
                      <w:cs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6C2D18" w14:textId="77777777" w:rsidR="00DF3C6A" w:rsidRPr="00DF3C6A" w:rsidRDefault="00DF3C6A" w:rsidP="007D6A40">
                  <w:pPr>
                    <w:spacing w:after="0" w:line="240" w:lineRule="auto"/>
                    <w:ind w:left="-88" w:right="-124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  <w:t>Baseline</w:t>
                  </w:r>
                </w:p>
                <w:p w14:paraId="550AE362" w14:textId="77777777" w:rsidR="00DF3C6A" w:rsidRPr="00DF3C6A" w:rsidRDefault="00DF3C6A" w:rsidP="007D6A40">
                  <w:pPr>
                    <w:spacing w:after="0" w:line="240" w:lineRule="auto"/>
                    <w:ind w:left="-88" w:right="-124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  <w:cs/>
                    </w:rPr>
                    <w:t xml:space="preserve">ปี </w:t>
                  </w: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  <w:t>58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C2157F" w14:textId="77777777" w:rsidR="00DF3C6A" w:rsidRPr="00DF3C6A" w:rsidRDefault="00DF3C6A" w:rsidP="007D6A40">
                  <w:pPr>
                    <w:spacing w:after="0" w:line="240" w:lineRule="auto"/>
                    <w:ind w:left="-88" w:right="-124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  <w:cs/>
                    </w:rPr>
                    <w:t xml:space="preserve">ปี </w:t>
                  </w: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  <w:t>60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F7C62" w14:textId="77777777" w:rsidR="00DF3C6A" w:rsidRPr="00DF3C6A" w:rsidRDefault="00DF3C6A" w:rsidP="007D6A40">
                  <w:pPr>
                    <w:spacing w:after="0" w:line="240" w:lineRule="auto"/>
                    <w:ind w:left="-88" w:right="-124"/>
                    <w:jc w:val="center"/>
                    <w:rPr>
                      <w:rFonts w:ascii="TH SarabunPSK" w:eastAsia="Times New Roman" w:hAnsi="TH SarabunPSK" w:cs="TH SarabunPSK"/>
                      <w:color w:val="000000"/>
                      <w:sz w:val="28"/>
                      <w:cs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  <w:cs/>
                    </w:rPr>
                    <w:t xml:space="preserve">ปี </w:t>
                  </w:r>
                  <w:r w:rsidRPr="00DF3C6A">
                    <w:rPr>
                      <w:rFonts w:ascii="TH SarabunPSK" w:eastAsia="Times New Roman" w:hAnsi="TH SarabunPSK" w:cs="TH SarabunPSK"/>
                      <w:color w:val="000000"/>
                      <w:sz w:val="28"/>
                    </w:rPr>
                    <w:t>61</w:t>
                  </w:r>
                </w:p>
              </w:tc>
            </w:tr>
            <w:tr w:rsidR="00DF3C6A" w:rsidRPr="00DF3C6A" w14:paraId="339BF162" w14:textId="77777777" w:rsidTr="00DF3C6A">
              <w:trPr>
                <w:trHeight w:val="486"/>
              </w:trPr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CC"/>
                  <w:hideMark/>
                </w:tcPr>
                <w:p w14:paraId="1F1088A5" w14:textId="77777777" w:rsidR="00DF3C6A" w:rsidRPr="00DF3C6A" w:rsidRDefault="00DF3C6A" w:rsidP="007D6A40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b/>
                      <w:bCs/>
                      <w:sz w:val="28"/>
                    </w:rPr>
                    <w:t>CR-UC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56E154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87.58%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80F46FC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87.85%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2E181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87.85%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</w:tcPr>
                <w:p w14:paraId="37DC5BB9" w14:textId="77777777" w:rsidR="00DF3C6A" w:rsidRPr="00DF3C6A" w:rsidRDefault="00DF3C6A" w:rsidP="007D6A40">
                  <w:pPr>
                    <w:pStyle w:val="Heading1"/>
                    <w:ind w:left="-109"/>
                    <w:rPr>
                      <w:sz w:val="28"/>
                      <w:szCs w:val="28"/>
                    </w:rPr>
                  </w:pPr>
                  <w:proofErr w:type="spellStart"/>
                  <w:r w:rsidRPr="00DF3C6A">
                    <w:rPr>
                      <w:sz w:val="28"/>
                      <w:szCs w:val="28"/>
                    </w:rPr>
                    <w:t>CRdif</w:t>
                  </w:r>
                  <w:proofErr w:type="spellEnd"/>
                  <w:r w:rsidRPr="00DF3C6A">
                    <w:rPr>
                      <w:sz w:val="28"/>
                      <w:szCs w:val="28"/>
                    </w:rPr>
                    <w:t>-UC</w:t>
                  </w:r>
                </w:p>
              </w:tc>
              <w:tc>
                <w:tcPr>
                  <w:tcW w:w="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7AB31" w14:textId="77777777" w:rsidR="00DF3C6A" w:rsidRPr="00DF3C6A" w:rsidRDefault="00DF3C6A" w:rsidP="007D6A40">
                  <w:pPr>
                    <w:spacing w:after="0"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0.62%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2F2840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0.67%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281AF5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0.67%</w:t>
                  </w:r>
                </w:p>
              </w:tc>
            </w:tr>
            <w:tr w:rsidR="00DF3C6A" w:rsidRPr="00DF3C6A" w14:paraId="7FEBD26D" w14:textId="77777777" w:rsidTr="00DF3C6A">
              <w:trPr>
                <w:trHeight w:val="480"/>
              </w:trPr>
              <w:tc>
                <w:tcPr>
                  <w:tcW w:w="8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CC"/>
                  <w:hideMark/>
                </w:tcPr>
                <w:p w14:paraId="00881698" w14:textId="77777777" w:rsidR="00DF3C6A" w:rsidRPr="00DF3C6A" w:rsidRDefault="00DF3C6A" w:rsidP="007D6A40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b/>
                      <w:bCs/>
                      <w:sz w:val="28"/>
                    </w:rPr>
                    <w:t>CR-CS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FD77E76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90.34%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91B6C62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86.26%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199FD3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86.26%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</w:tcPr>
                <w:p w14:paraId="13105A7D" w14:textId="77777777" w:rsidR="00DF3C6A" w:rsidRPr="00DF3C6A" w:rsidRDefault="00DF3C6A" w:rsidP="007D6A40">
                  <w:pPr>
                    <w:ind w:left="-109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proofErr w:type="spellStart"/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CRdif</w:t>
                  </w:r>
                  <w:proofErr w:type="spellEnd"/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-CS</w:t>
                  </w:r>
                </w:p>
              </w:tc>
              <w:tc>
                <w:tcPr>
                  <w:tcW w:w="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6C1917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2.14%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0B8396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0.92%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C3F1A1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0.92%</w:t>
                  </w:r>
                </w:p>
              </w:tc>
            </w:tr>
            <w:tr w:rsidR="00DF3C6A" w:rsidRPr="00DF3C6A" w14:paraId="67478ED3" w14:textId="77777777" w:rsidTr="00DF3C6A">
              <w:trPr>
                <w:trHeight w:val="480"/>
              </w:trPr>
              <w:tc>
                <w:tcPr>
                  <w:tcW w:w="8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CC"/>
                  <w:hideMark/>
                </w:tcPr>
                <w:p w14:paraId="14F48D4C" w14:textId="77777777" w:rsidR="00DF3C6A" w:rsidRPr="00DF3C6A" w:rsidRDefault="00DF3C6A" w:rsidP="007D6A40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b/>
                      <w:bCs/>
                      <w:sz w:val="28"/>
                    </w:rPr>
                    <w:t>CR-SS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4DD642B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90.06%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C588B01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84.71%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D986D9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84.71%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</w:tcPr>
                <w:p w14:paraId="325D018D" w14:textId="77777777" w:rsidR="00DF3C6A" w:rsidRPr="00DF3C6A" w:rsidRDefault="00DF3C6A" w:rsidP="007D6A40">
                  <w:pPr>
                    <w:ind w:left="-109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proofErr w:type="spellStart"/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CRdif</w:t>
                  </w:r>
                  <w:proofErr w:type="spellEnd"/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-SS</w:t>
                  </w:r>
                </w:p>
              </w:tc>
              <w:tc>
                <w:tcPr>
                  <w:tcW w:w="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14C4D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1.86%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A8E3C9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2.47%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37909A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2.47%</w:t>
                  </w:r>
                </w:p>
              </w:tc>
            </w:tr>
            <w:tr w:rsidR="00DF3C6A" w:rsidRPr="00DF3C6A" w14:paraId="4537447A" w14:textId="77777777" w:rsidTr="00DF3C6A">
              <w:trPr>
                <w:trHeight w:val="426"/>
              </w:trPr>
              <w:tc>
                <w:tcPr>
                  <w:tcW w:w="8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FFCC"/>
                  <w:hideMark/>
                </w:tcPr>
                <w:p w14:paraId="3F3F3382" w14:textId="77777777" w:rsidR="00DF3C6A" w:rsidRPr="00DF3C6A" w:rsidRDefault="00DF3C6A" w:rsidP="007D6A40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b/>
                      <w:bCs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b/>
                      <w:bCs/>
                      <w:sz w:val="28"/>
                    </w:rPr>
                    <w:t>CR-T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6A7C98E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88.20%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EC49CB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87.18%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D7B84E" w14:textId="77777777" w:rsidR="00DF3C6A" w:rsidRPr="00DF3C6A" w:rsidRDefault="00DF3C6A" w:rsidP="007D6A40">
                  <w:pPr>
                    <w:spacing w:after="0" w:line="240" w:lineRule="auto"/>
                    <w:ind w:left="-72" w:right="-115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87.18%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</w:tcPr>
                <w:p w14:paraId="34A06D54" w14:textId="77777777" w:rsidR="00DF3C6A" w:rsidRPr="00DF3C6A" w:rsidRDefault="00DF3C6A" w:rsidP="007D6A40">
                  <w:pPr>
                    <w:spacing w:after="0" w:line="240" w:lineRule="auto"/>
                    <w:ind w:left="-109"/>
                    <w:jc w:val="center"/>
                    <w:rPr>
                      <w:rFonts w:ascii="TH SarabunPSK" w:eastAsia="Times New Roman" w:hAnsi="TH SarabunPSK" w:cs="TH SarabunPSK"/>
                      <w:sz w:val="28"/>
                    </w:rPr>
                  </w:pPr>
                  <w:r w:rsidRPr="00DF3C6A">
                    <w:rPr>
                      <w:rFonts w:ascii="TH SarabunPSK" w:eastAsia="Times New Roman" w:hAnsi="TH SarabunPSK" w:cs="TH SarabunPSK"/>
                      <w:sz w:val="28"/>
                    </w:rPr>
                    <w:t>Avg.</w:t>
                  </w:r>
                </w:p>
              </w:tc>
              <w:tc>
                <w:tcPr>
                  <w:tcW w:w="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8EEF0F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1.54%</w:t>
                  </w:r>
                </w:p>
              </w:tc>
              <w:tc>
                <w:tcPr>
                  <w:tcW w:w="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75C720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1.35%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64E4B4" w14:textId="77777777" w:rsidR="00DF3C6A" w:rsidRPr="00DF3C6A" w:rsidRDefault="00DF3C6A" w:rsidP="007D6A40">
                  <w:pPr>
                    <w:spacing w:line="240" w:lineRule="auto"/>
                    <w:ind w:left="-88" w:right="-124"/>
                    <w:jc w:val="center"/>
                    <w:rPr>
                      <w:rFonts w:ascii="TH SarabunPSK" w:hAnsi="TH SarabunPSK" w:cs="TH SarabunPSK"/>
                      <w:color w:val="000000"/>
                      <w:sz w:val="28"/>
                    </w:rPr>
                  </w:pPr>
                  <w:r w:rsidRPr="00DF3C6A">
                    <w:rPr>
                      <w:rFonts w:ascii="TH SarabunPSK" w:hAnsi="TH SarabunPSK" w:cs="TH SarabunPSK"/>
                      <w:color w:val="000000"/>
                      <w:sz w:val="28"/>
                    </w:rPr>
                    <w:t>1.35%</w:t>
                  </w:r>
                </w:p>
              </w:tc>
            </w:tr>
          </w:tbl>
          <w:p w14:paraId="73605316" w14:textId="77777777" w:rsidR="00E968F7" w:rsidRPr="00DF3C6A" w:rsidRDefault="00E968F7" w:rsidP="00DF3C6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</w:tr>
      <w:tr w:rsidR="000D4D0A" w:rsidRPr="001B13DD" w14:paraId="0F598082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425C" w14:textId="77777777" w:rsidR="00C438BF" w:rsidRDefault="00C438BF" w:rsidP="00C438B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1F80CDBE" w14:textId="77777777" w:rsidR="000D4D0A" w:rsidRPr="001B13DD" w:rsidRDefault="00C438BF" w:rsidP="00C438B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B17D" w14:textId="35F7958C" w:rsidR="00C438BF" w:rsidRDefault="00934C91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</w:t>
            </w:r>
            <w:r w:rsidR="00C438B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438B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นางกาญจนา </w:t>
            </w:r>
            <w:proofErr w:type="spellStart"/>
            <w:r w:rsidR="00C438B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ศิ</w:t>
            </w:r>
            <w:proofErr w:type="spellEnd"/>
            <w:r w:rsidR="00C438B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ริโกมล           </w:t>
            </w:r>
            <w:r w:rsidR="00DF3C6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DF3C6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C438B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ผู้อำนวยการสำนักสารสนเทศและ</w:t>
            </w:r>
          </w:p>
          <w:p w14:paraId="5DE2DC7A" w14:textId="4B6C2973" w:rsidR="00C438BF" w:rsidRDefault="00C438BF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ประเมินผลลัพธ์สุขภาพ</w:t>
            </w:r>
          </w:p>
          <w:p w14:paraId="63312CE1" w14:textId="77777777" w:rsidR="00C438BF" w:rsidRDefault="00C438BF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084-439-0152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โทรศัพท์มือถือ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084-439-0152</w:t>
            </w:r>
          </w:p>
          <w:p w14:paraId="7093978A" w14:textId="44C5C9E1" w:rsidR="00C438BF" w:rsidRDefault="00C438BF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kanjana.s@nhso.go.th                                                            </w:t>
            </w:r>
            <w:r w:rsidR="00934C9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นางวรรณา เอียดประพาล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ตำแหน่ง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หัวหน้ากลุ่มงาน</w:t>
            </w:r>
          </w:p>
          <w:p w14:paraId="6929873C" w14:textId="77777777" w:rsidR="00C438BF" w:rsidRDefault="00C438BF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084-439-0096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โทรศัพท์มือถือ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084-439-0096</w:t>
            </w:r>
          </w:p>
          <w:p w14:paraId="7935FD9B" w14:textId="77777777" w:rsidR="00C438BF" w:rsidRDefault="00C438BF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</w:t>
            </w:r>
            <w:r w:rsidRPr="00C37BC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anna.e@nhso.go.th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                                  </w:t>
            </w:r>
          </w:p>
          <w:p w14:paraId="274F2A55" w14:textId="08348CC1" w:rsidR="00C438BF" w:rsidRDefault="00934C91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</w:t>
            </w:r>
            <w:r w:rsidR="00C438B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438B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อมรรัตน์ เงาวะบุญ</w:t>
            </w:r>
            <w:proofErr w:type="spellStart"/>
            <w:r w:rsidR="00C438B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พัฒน์</w:t>
            </w:r>
            <w:proofErr w:type="spellEnd"/>
            <w:r w:rsidR="00C438B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ตำแหน่ง </w:t>
            </w:r>
            <w:r w:rsidR="00C438B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หัวหน้างาน</w:t>
            </w:r>
          </w:p>
          <w:p w14:paraId="2317BEA5" w14:textId="77777777" w:rsidR="00C438BF" w:rsidRDefault="00C438BF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061-398-5708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061-398-5708</w:t>
            </w:r>
          </w:p>
          <w:p w14:paraId="60F98985" w14:textId="14EE563F" w:rsidR="00C438BF" w:rsidRDefault="00C438BF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DF3C6A">
              <w:rPr>
                <w:rFonts w:ascii="TH SarabunPSK" w:hAnsi="TH SarabunPSK" w:cs="TH SarabunPSK"/>
                <w:sz w:val="32"/>
                <w:szCs w:val="32"/>
              </w:rPr>
              <w:t>amornrat.n@nhso.go.th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</w:p>
          <w:p w14:paraId="601D9B64" w14:textId="166F6D4E" w:rsidR="00C438BF" w:rsidRDefault="00C438BF" w:rsidP="00C438B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                                 amornrat.ngowa@gmail.com</w:t>
            </w:r>
          </w:p>
          <w:p w14:paraId="6ADF30A1" w14:textId="77777777" w:rsidR="000D4D0A" w:rsidRPr="00934C91" w:rsidRDefault="00C438BF" w:rsidP="00FC362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สถานที่ทำงาน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สำนักงานหลักประกันสุขภาพแห่งชาติ</w:t>
            </w:r>
          </w:p>
        </w:tc>
      </w:tr>
      <w:tr w:rsidR="00C37BC9" w:rsidRPr="001B13DD" w14:paraId="31776A26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C3FB" w14:textId="77777777" w:rsidR="00C37BC9" w:rsidRPr="001B13DD" w:rsidRDefault="00C37BC9" w:rsidP="00C37B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60A25C55" w14:textId="77777777" w:rsidR="00C37BC9" w:rsidRPr="001B13DD" w:rsidRDefault="00C37BC9" w:rsidP="00C37B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AC73" w14:textId="77777777" w:rsidR="005D602F" w:rsidRDefault="00BD128E" w:rsidP="00BD128E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สำรวจข้อมูลโดย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: </w:t>
            </w:r>
            <w:r w:rsidR="005D602F" w:rsidRPr="009E74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สำนักงานสถิติแห่งชาติ   </w:t>
            </w:r>
          </w:p>
          <w:p w14:paraId="29599754" w14:textId="3F9C2A6D" w:rsidR="00BD128E" w:rsidRDefault="005D602F" w:rsidP="00BD128E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  </w:t>
            </w:r>
            <w:r w:rsidR="00BD128E" w:rsidRPr="009E747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สำรวจอนามัยและสวัสดิการ (</w:t>
            </w:r>
            <w:r w:rsidR="00BD128E" w:rsidRPr="009E747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Health Welfare Survey)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  <w:p w14:paraId="09C6A96E" w14:textId="77777777" w:rsidR="00BD128E" w:rsidRDefault="00BD128E" w:rsidP="00BD12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วิเคราะห์โดย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มูลนิธิเพื่อการพัฒนานโยบายสุขภาพระหว่างประเทศ</w:t>
            </w:r>
          </w:p>
          <w:p w14:paraId="248C326E" w14:textId="56D31223" w:rsidR="00D818E5" w:rsidRPr="00D818E5" w:rsidRDefault="00D818E5" w:rsidP="00BD128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             </w:t>
            </w:r>
            <w:r w:rsidRPr="00D818E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ดร</w:t>
            </w:r>
            <w:r w:rsidRPr="00D818E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</w:t>
            </w:r>
            <w:r w:rsidRPr="00D818E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สุพล ลิ้มวัฒนานนท์</w:t>
            </w:r>
          </w:p>
        </w:tc>
      </w:tr>
      <w:tr w:rsidR="007D6A40" w:rsidRPr="001B13DD" w14:paraId="47FBB572" w14:textId="77777777" w:rsidTr="00DF3C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F285" w14:textId="77777777" w:rsidR="007D6A40" w:rsidRPr="001B13DD" w:rsidRDefault="007D6A40" w:rsidP="007D6A4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B36E" w14:textId="4B84E742" w:rsidR="007D6A40" w:rsidRDefault="00DF3C6A" w:rsidP="007D6A4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 w:rsidR="007D6A4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อมรรัตน์ เงาวะบุญ</w:t>
            </w:r>
            <w:proofErr w:type="spellStart"/>
            <w:r w:rsidR="007D6A4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พัฒน์</w:t>
            </w:r>
            <w:proofErr w:type="spellEnd"/>
            <w:r w:rsidR="007D6A4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7D6A4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หัวหน้างาน</w:t>
            </w:r>
          </w:p>
          <w:p w14:paraId="622B5801" w14:textId="77777777" w:rsidR="007D6A40" w:rsidRDefault="007D6A40" w:rsidP="007D6A4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061-398-5708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  <w:r w:rsidR="00C438B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061-398-5708</w:t>
            </w:r>
          </w:p>
          <w:p w14:paraId="33DBFE6C" w14:textId="158969CA" w:rsidR="00C438BF" w:rsidRDefault="007D6A40" w:rsidP="007D6A4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C438BF" w:rsidRPr="00DF3C6A">
              <w:rPr>
                <w:rFonts w:ascii="TH SarabunPSK" w:hAnsi="TH SarabunPSK" w:cs="TH SarabunPSK"/>
                <w:sz w:val="32"/>
                <w:szCs w:val="32"/>
              </w:rPr>
              <w:t>amornrat.n@nhso.go.th</w:t>
            </w:r>
            <w:r w:rsidR="00C438B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</w:p>
          <w:p w14:paraId="19BC49D5" w14:textId="53AC3071" w:rsidR="007D6A40" w:rsidRDefault="00C438BF" w:rsidP="007D6A4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                                 amornrat.ngowa@gmail.com</w:t>
            </w:r>
          </w:p>
          <w:p w14:paraId="676926A0" w14:textId="77777777" w:rsidR="007D6A40" w:rsidRDefault="007D6A40" w:rsidP="007D6A4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สถานที่ทำงาน</w:t>
            </w:r>
            <w:r w:rsidR="00C438B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สำนักงานหลักประกันสุขภาพแห่งชาติ</w:t>
            </w:r>
          </w:p>
        </w:tc>
      </w:tr>
    </w:tbl>
    <w:p w14:paraId="1E6CB0C8" w14:textId="77777777" w:rsidR="00FC3625" w:rsidRDefault="00412976">
      <w:r>
        <w:t xml:space="preserve">                             </w:t>
      </w:r>
    </w:p>
    <w:p w14:paraId="4AC69E61" w14:textId="77777777" w:rsidR="007B1944" w:rsidRDefault="007B1944">
      <w:bookmarkStart w:id="0" w:name="_GoBack"/>
      <w:r>
        <w:rPr>
          <w:noProof/>
        </w:rPr>
        <w:lastRenderedPageBreak/>
        <w:drawing>
          <wp:inline distT="0" distB="0" distL="0" distR="0" wp14:anchorId="40A8A64A" wp14:editId="1972AAEE">
            <wp:extent cx="5762625" cy="26599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556" cy="26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B6D225" w14:textId="64D2E44F" w:rsidR="00D91BD8" w:rsidRPr="000D4D0A" w:rsidRDefault="00D91BD8"/>
    <w:sectPr w:rsidR="00D91BD8" w:rsidRPr="000D4D0A" w:rsidSect="00DF3C6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7356"/>
    <w:multiLevelType w:val="hybridMultilevel"/>
    <w:tmpl w:val="D758ED8E"/>
    <w:lvl w:ilvl="0" w:tplc="39B093F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369AE"/>
    <w:multiLevelType w:val="hybridMultilevel"/>
    <w:tmpl w:val="8940E53A"/>
    <w:lvl w:ilvl="0" w:tplc="89E0E2EE">
      <w:start w:val="1"/>
      <w:numFmt w:val="thaiLetters"/>
      <w:lvlText w:val="%1."/>
      <w:lvlJc w:val="left"/>
      <w:pPr>
        <w:tabs>
          <w:tab w:val="num" w:pos="-720"/>
        </w:tabs>
        <w:ind w:left="36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 w:tplc="39B093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z w:val="20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32308"/>
    <w:rsid w:val="00077239"/>
    <w:rsid w:val="000808C4"/>
    <w:rsid w:val="00092A06"/>
    <w:rsid w:val="000A2342"/>
    <w:rsid w:val="000D4D0A"/>
    <w:rsid w:val="000E26B8"/>
    <w:rsid w:val="001136EC"/>
    <w:rsid w:val="00216CA3"/>
    <w:rsid w:val="002241B9"/>
    <w:rsid w:val="002343C4"/>
    <w:rsid w:val="00241583"/>
    <w:rsid w:val="00247F86"/>
    <w:rsid w:val="00264296"/>
    <w:rsid w:val="002915B3"/>
    <w:rsid w:val="002D07DB"/>
    <w:rsid w:val="002D4DB8"/>
    <w:rsid w:val="002E5684"/>
    <w:rsid w:val="00335140"/>
    <w:rsid w:val="00347F04"/>
    <w:rsid w:val="0035339B"/>
    <w:rsid w:val="003A2F11"/>
    <w:rsid w:val="003B1C3C"/>
    <w:rsid w:val="003C1202"/>
    <w:rsid w:val="003F7EFD"/>
    <w:rsid w:val="00412976"/>
    <w:rsid w:val="00484FE2"/>
    <w:rsid w:val="004B16F4"/>
    <w:rsid w:val="005261F7"/>
    <w:rsid w:val="00594B65"/>
    <w:rsid w:val="005979E7"/>
    <w:rsid w:val="005B4D63"/>
    <w:rsid w:val="005D602F"/>
    <w:rsid w:val="00696B97"/>
    <w:rsid w:val="006A3E76"/>
    <w:rsid w:val="00754A4E"/>
    <w:rsid w:val="007710DA"/>
    <w:rsid w:val="00791CBE"/>
    <w:rsid w:val="007A7A5B"/>
    <w:rsid w:val="007B1944"/>
    <w:rsid w:val="007D6A40"/>
    <w:rsid w:val="008064BE"/>
    <w:rsid w:val="008247A9"/>
    <w:rsid w:val="00825504"/>
    <w:rsid w:val="008472C9"/>
    <w:rsid w:val="008F0176"/>
    <w:rsid w:val="0092584E"/>
    <w:rsid w:val="00934C91"/>
    <w:rsid w:val="009616E1"/>
    <w:rsid w:val="009639F7"/>
    <w:rsid w:val="009829E0"/>
    <w:rsid w:val="009E747F"/>
    <w:rsid w:val="00A1575E"/>
    <w:rsid w:val="00A35F3F"/>
    <w:rsid w:val="00A47BBD"/>
    <w:rsid w:val="00AB04A4"/>
    <w:rsid w:val="00B17284"/>
    <w:rsid w:val="00BA2479"/>
    <w:rsid w:val="00BA5824"/>
    <w:rsid w:val="00BB6E31"/>
    <w:rsid w:val="00BC4C16"/>
    <w:rsid w:val="00BD0E1B"/>
    <w:rsid w:val="00BD128E"/>
    <w:rsid w:val="00C233A2"/>
    <w:rsid w:val="00C37BC9"/>
    <w:rsid w:val="00C438BF"/>
    <w:rsid w:val="00C76499"/>
    <w:rsid w:val="00C93273"/>
    <w:rsid w:val="00D818E5"/>
    <w:rsid w:val="00D91BD8"/>
    <w:rsid w:val="00DD2096"/>
    <w:rsid w:val="00DE2498"/>
    <w:rsid w:val="00DF3C6A"/>
    <w:rsid w:val="00E57FB3"/>
    <w:rsid w:val="00E968F7"/>
    <w:rsid w:val="00EB4814"/>
    <w:rsid w:val="00EC6096"/>
    <w:rsid w:val="00EF2467"/>
    <w:rsid w:val="00F11132"/>
    <w:rsid w:val="00F25BD7"/>
    <w:rsid w:val="00F44E90"/>
    <w:rsid w:val="00FC1C15"/>
    <w:rsid w:val="00FC3625"/>
    <w:rsid w:val="00FE45D9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6C32"/>
  <w15:docId w15:val="{7B451E96-7325-42F9-B0E5-57434A23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7A5B"/>
    <w:pPr>
      <w:keepNext/>
      <w:spacing w:after="0" w:line="240" w:lineRule="auto"/>
      <w:jc w:val="center"/>
      <w:outlineLvl w:val="0"/>
    </w:pPr>
    <w:rPr>
      <w:rFonts w:ascii="TH SarabunPSK" w:eastAsia="Times New Roman" w:hAnsi="TH SarabunPSK" w:cs="TH SarabunPSK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246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4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A5B"/>
    <w:rPr>
      <w:rFonts w:ascii="TH SarabunPSK" w:eastAsia="Times New Roman" w:hAnsi="TH SarabunPSK" w:cs="TH SarabunPSK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129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MasterData1</dc:creator>
  <cp:lastModifiedBy>SP</cp:lastModifiedBy>
  <cp:revision>4</cp:revision>
  <dcterms:created xsi:type="dcterms:W3CDTF">2019-10-08T07:43:00Z</dcterms:created>
  <dcterms:modified xsi:type="dcterms:W3CDTF">2019-10-21T14:06:00Z</dcterms:modified>
</cp:coreProperties>
</file>