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7B217" w14:textId="77777777" w:rsidR="000B2B3A" w:rsidRPr="000B2B3A" w:rsidRDefault="000B2B3A" w:rsidP="000B2B3A">
      <w:pPr>
        <w:rPr>
          <w:b/>
          <w:bCs/>
        </w:rPr>
      </w:pPr>
      <w:r w:rsidRPr="000B2B3A">
        <w:rPr>
          <w:b/>
          <w:bCs/>
        </w:rPr>
        <w:t>AI Future Directions: Pioneering Tomorrow's AI Innovations</w:t>
      </w:r>
    </w:p>
    <w:p w14:paraId="1F1808C7" w14:textId="77777777" w:rsidR="000B2B3A" w:rsidRPr="000B2B3A" w:rsidRDefault="000B2B3A" w:rsidP="000B2B3A">
      <w:pPr>
        <w:rPr>
          <w:b/>
          <w:bCs/>
        </w:rPr>
      </w:pPr>
      <w:r w:rsidRPr="000B2B3A">
        <w:rPr>
          <w:b/>
          <w:bCs/>
        </w:rPr>
        <w:t>Part 1: Theoretical Analysis</w:t>
      </w:r>
    </w:p>
    <w:p w14:paraId="78158DC3" w14:textId="77777777" w:rsidR="000B2B3A" w:rsidRPr="000B2B3A" w:rsidRDefault="000B2B3A" w:rsidP="000B2B3A">
      <w:pPr>
        <w:rPr>
          <w:b/>
          <w:bCs/>
        </w:rPr>
      </w:pPr>
      <w:r w:rsidRPr="000B2B3A">
        <w:rPr>
          <w:b/>
          <w:bCs/>
        </w:rPr>
        <w:t>Essay Questions</w:t>
      </w:r>
    </w:p>
    <w:p w14:paraId="6DEC5903" w14:textId="77777777" w:rsidR="000B2B3A" w:rsidRPr="000B2B3A" w:rsidRDefault="000B2B3A" w:rsidP="000B2B3A">
      <w:r w:rsidRPr="000B2B3A">
        <w:rPr>
          <w:b/>
          <w:bCs/>
        </w:rPr>
        <w:t>Q1: Edge AI vs Cloud-Based AI - Latency and Privacy Analysis</w:t>
      </w:r>
    </w:p>
    <w:p w14:paraId="1F1FCCF1" w14:textId="77777777" w:rsidR="000B2B3A" w:rsidRPr="000B2B3A" w:rsidRDefault="000B2B3A" w:rsidP="000B2B3A">
      <w:r w:rsidRPr="000B2B3A">
        <w:t>Edge AI represents a paradigm shift in artificial intelligence deployment by processing data locally on devices rather than relying on centralized cloud infrastructure. The advantages manifest in two critical dimensions: latency reduction and privacy enhancement.</w:t>
      </w:r>
    </w:p>
    <w:p w14:paraId="2205EEFA" w14:textId="77777777" w:rsidR="000B2B3A" w:rsidRPr="000B2B3A" w:rsidRDefault="000B2B3A" w:rsidP="000B2B3A">
      <w:r w:rsidRPr="000B2B3A">
        <w:t>Latency reduction occurs because Edge AI eliminates the round-trip communication to remote data centers. In cloud-based systems, data must travel to centralized servers for processing, then return with results - a process typically consuming 100-500 milliseconds. Edge AI processes data directly on the device, slashing latency to 1-10 milliseconds. This is particularly crucial for real-time applications like autonomous drones, where split-second obstacle detection prevents collisions, or industrial robotics where microsecond precision determines operational safety and efficiency.</w:t>
      </w:r>
    </w:p>
    <w:p w14:paraId="58ADB3DA" w14:textId="77777777" w:rsidR="000B2B3A" w:rsidRPr="000B2B3A" w:rsidRDefault="000B2B3A" w:rsidP="000B2B3A">
      <w:r w:rsidRPr="000B2B3A">
        <w:t>Privacy enhancement stems from Edge AI's fundamental architecture. Traditional cloud AI requires transmitting potentially sensitive data - video feeds, medical images, personal conversations - across networks, creating multiple vulnerability points for interception or breach. Edge AI maintains raw data locally, transmitting only processed results or encrypted insights. A practical example includes smart home security cameras that send "motion detected" alerts rather than streaming continuous footage to cloud servers, thereby protecting residents' privacy while maintaining security functionality.</w:t>
      </w:r>
    </w:p>
    <w:p w14:paraId="1AD99388" w14:textId="77777777" w:rsidR="000B2B3A" w:rsidRPr="000B2B3A" w:rsidRDefault="000B2B3A" w:rsidP="000B2B3A">
      <w:r w:rsidRPr="000B2B3A">
        <w:rPr>
          <w:b/>
          <w:bCs/>
        </w:rPr>
        <w:t>Q2: Quantum AI vs Classical AI in Optimization Problems</w:t>
      </w:r>
    </w:p>
    <w:p w14:paraId="27FD7A03" w14:textId="77777777" w:rsidR="000B2B3A" w:rsidRPr="000B2B3A" w:rsidRDefault="000B2B3A" w:rsidP="000B2B3A">
      <w:r w:rsidRPr="000B2B3A">
        <w:t>The distinction between Quantum AI and Classical AI represents a fundamental computational paradigm shift, particularly evident in optimization problem solving.</w:t>
      </w:r>
    </w:p>
    <w:p w14:paraId="423E8202" w14:textId="77777777" w:rsidR="000B2B3A" w:rsidRPr="000B2B3A" w:rsidRDefault="000B2B3A" w:rsidP="000B2B3A">
      <w:r w:rsidRPr="000B2B3A">
        <w:t>Classical AI operates on binary bits (0 or 1 states) using sequential processing architectures. For complex optimization challenges like molecular modeling or global logistics routing, computational requirements grow exponentially with problem size, rapidly becoming computationally intractable. The traveling salesman problem with 100 cities, for instance, presents more possible routes than atoms in the observable universe when approached through classical computation.</w:t>
      </w:r>
    </w:p>
    <w:p w14:paraId="730E540D" w14:textId="77777777" w:rsidR="000B2B3A" w:rsidRPr="000B2B3A" w:rsidRDefault="000B2B3A" w:rsidP="000B2B3A">
      <w:r w:rsidRPr="000B2B3A">
        <w:t xml:space="preserve">Quantum AI leverages quantum bits (qubits) that exploit superposition and entanglement principles. Qubits can exist in multiple states simultaneously, enabling parallel exploration of solution spaces. Quantum annealing and variational quantum </w:t>
      </w:r>
      <w:proofErr w:type="spellStart"/>
      <w:r w:rsidRPr="000B2B3A">
        <w:t>eigensolvers</w:t>
      </w:r>
      <w:proofErr w:type="spellEnd"/>
      <w:r w:rsidRPr="000B2B3A">
        <w:t xml:space="preserve"> can evaluate </w:t>
      </w:r>
      <w:r w:rsidRPr="000B2B3A">
        <w:lastRenderedPageBreak/>
        <w:t>millions of potential solutions concurrently, offering exponential speedup for specific problem classes.</w:t>
      </w:r>
    </w:p>
    <w:p w14:paraId="07BB61F3" w14:textId="77777777" w:rsidR="000B2B3A" w:rsidRPr="000B2B3A" w:rsidRDefault="000B2B3A" w:rsidP="000B2B3A">
      <w:r w:rsidRPr="000B2B3A">
        <w:t>Industries positioned for maximum benefit include pharmaceuticals and materials science, where molecular interaction modeling currently requires years of supercomputer time. Financial services can revolutionize portfolio optimization and risk assessment. Logistics and supply chain management can achieve unprecedented routing efficiency. Energy sector applications include smart grid optimization and renewable energy distribution networks.</w:t>
      </w:r>
    </w:p>
    <w:p w14:paraId="3AA9580E" w14:textId="77777777" w:rsidR="000B2B3A" w:rsidRPr="000B2B3A" w:rsidRDefault="000B2B3A" w:rsidP="000B2B3A">
      <w:r w:rsidRPr="000B2B3A">
        <w:rPr>
          <w:b/>
          <w:bCs/>
        </w:rPr>
        <w:t>Q3: Human-AI Collaboration in Healthcare Transformation</w:t>
      </w:r>
    </w:p>
    <w:p w14:paraId="0DA3F472" w14:textId="77777777" w:rsidR="000B2B3A" w:rsidRPr="000B2B3A" w:rsidRDefault="000B2B3A" w:rsidP="000B2B3A">
      <w:r w:rsidRPr="000B2B3A">
        <w:t>Human-AI collaboration in healthcare represents an evolutionary shift from replacement to augmentation, fundamentally transforming clinical roles and patient outcomes.</w:t>
      </w:r>
    </w:p>
    <w:p w14:paraId="65E56758" w14:textId="77777777" w:rsidR="000B2B3A" w:rsidRPr="000B2B3A" w:rsidRDefault="000B2B3A" w:rsidP="000B2B3A">
      <w:r w:rsidRPr="000B2B3A">
        <w:t>Radiologists are transitioning from primary image interpreters to diagnostic decision-makers. AI systems serve as powerful first-pass filters, analyzing medical images with superhuman consistency and speed, highlighting potential anomalies like tumors or fractures. This augmentation allows radiologists to focus on complex differential diagnoses, patient consultation, and interventional planning. The role evolves from repetitive screening to higher-value cognitive tasks, potentially increasing diagnostic accuracy while reducing burnout.</w:t>
      </w:r>
    </w:p>
    <w:p w14:paraId="2CBA8212" w14:textId="77777777" w:rsidR="000B2B3A" w:rsidRPr="000B2B3A" w:rsidRDefault="000B2B3A" w:rsidP="000B2B3A">
      <w:r w:rsidRPr="000B2B3A">
        <w:t>Nurses experience transformation through AI-powered monitoring systems. Continuous patient surveillance via wearable sensors and environmental monitors predicts adverse events like sepsis or patient falls before clinical manifestation. This enables proactive intervention rather than reactive response. Nurses shift from manual vital sign documentation and routine checks to prioritized, relationship-centered care. The technology handles surveillance monotony while nurses provide irreplaceable human touch, emotional support, and critical clinical judgment.</w:t>
      </w:r>
    </w:p>
    <w:p w14:paraId="0A1CC3FC" w14:textId="77777777" w:rsidR="000B2B3A" w:rsidRPr="000B2B3A" w:rsidRDefault="000B2B3A" w:rsidP="000B2B3A">
      <w:r w:rsidRPr="000B2B3A">
        <w:t>Societal impacts include addressing healthcare workforce shortages, reducing diagnostic errors estimated to affect 12 million Americans annually, and democratizing access to expert-level care through telemedicine integrations. The collaboration model enhances both professional satisfaction and patient safety while potentially reducing healthcare costs through early intervention and optimized resource allocation.</w:t>
      </w:r>
    </w:p>
    <w:p w14:paraId="0C974D0D" w14:textId="77777777" w:rsidR="000B2B3A" w:rsidRPr="000B2B3A" w:rsidRDefault="000B2B3A" w:rsidP="000B2B3A">
      <w:pPr>
        <w:rPr>
          <w:b/>
          <w:bCs/>
        </w:rPr>
      </w:pPr>
      <w:r w:rsidRPr="000B2B3A">
        <w:rPr>
          <w:b/>
          <w:bCs/>
        </w:rPr>
        <w:t>Case Study Critique: AI-IoT for Traffic Management</w:t>
      </w:r>
    </w:p>
    <w:p w14:paraId="2373AF89" w14:textId="77777777" w:rsidR="000B2B3A" w:rsidRPr="000B2B3A" w:rsidRDefault="000B2B3A" w:rsidP="000B2B3A">
      <w:r w:rsidRPr="000B2B3A">
        <w:t xml:space="preserve">The integration of Artificial Intelligence with Internet of Things technologies creates an intelligent urban nervous system capable of dynamic traffic optimization. AI-IoT systems </w:t>
      </w:r>
      <w:r w:rsidRPr="000B2B3A">
        <w:lastRenderedPageBreak/>
        <w:t>process real-time data from cameras, inductive loops, and vehicle GPS to achieve significant sustainability improvements.</w:t>
      </w:r>
    </w:p>
    <w:p w14:paraId="2821DD02" w14:textId="77777777" w:rsidR="000B2B3A" w:rsidRPr="000B2B3A" w:rsidRDefault="000B2B3A" w:rsidP="000B2B3A">
      <w:r w:rsidRPr="000B2B3A">
        <w:t>Urban sustainability benefits emerge through multiple mechanisms. Adaptive traffic signal control reduces idling time, directly decreasing greenhouse gas emissions and air pollutants. Studies indicate potential emission reductions of 15-20% in optimized corridors. Traffic flow optimization decreases fuel consumption, conserving non-renewable resources while reducing operational costs for municipalities and commuters. Furthermore, AI-enabled priority routing for public transportation and emergency vehicles encourages modal shift from private vehicles, supporting broader sustainable urban mobility frameworks.</w:t>
      </w:r>
    </w:p>
    <w:p w14:paraId="36285F15" w14:textId="77777777" w:rsidR="000B2B3A" w:rsidRPr="000B2B3A" w:rsidRDefault="000B2B3A" w:rsidP="000B2B3A">
      <w:r w:rsidRPr="000B2B3A">
        <w:t>Critical challenges demand careful consideration. Data security represents a primary concern, as city-wide IoT networks present extensive attack surfaces. Malicious actors could spoof sensor data to create artificial congestion or breach systems to track individual movements, creating substantial privacy violations. System reliability under cyber-attack scenarios requires robust security-by-design approaches.</w:t>
      </w:r>
    </w:p>
    <w:p w14:paraId="45D47BCD" w14:textId="77777777" w:rsidR="000B2B3A" w:rsidRPr="000B2B3A" w:rsidRDefault="000B2B3A" w:rsidP="000B2B3A">
      <w:r w:rsidRPr="000B2B3A">
        <w:t>Equity and bias concerns emerge from potential algorithmic discrimination. If training data over-represents affluent neighborhoods with comprehensive sensor coverage, optimization may preferentially benefit these areas, exacerbating existing transportation disparities. Underserved communities risk experiencing increased congestion as system resources focus on already well-serviced corridors. Continuous algorithmic auditing and diverse training data collection are essential to prevent encoded inequality.</w:t>
      </w:r>
    </w:p>
    <w:p w14:paraId="039E32C8" w14:textId="77777777" w:rsidR="000B2B3A" w:rsidRPr="000B2B3A" w:rsidRDefault="000B2B3A" w:rsidP="000B2B3A">
      <w:pPr>
        <w:rPr>
          <w:b/>
          <w:bCs/>
        </w:rPr>
      </w:pPr>
      <w:r w:rsidRPr="000B2B3A">
        <w:rPr>
          <w:b/>
          <w:bCs/>
        </w:rPr>
        <w:t>Part 2: Practical Implementation</w:t>
      </w:r>
    </w:p>
    <w:p w14:paraId="670EC4D2" w14:textId="77777777" w:rsidR="000B2B3A" w:rsidRPr="000B2B3A" w:rsidRDefault="000B2B3A" w:rsidP="000B2B3A">
      <w:pPr>
        <w:rPr>
          <w:b/>
          <w:bCs/>
        </w:rPr>
      </w:pPr>
      <w:r w:rsidRPr="000B2B3A">
        <w:rPr>
          <w:b/>
          <w:bCs/>
        </w:rPr>
        <w:t>Task 1: Edge AI Prototype - Recyclable Waste Classification</w:t>
      </w:r>
    </w:p>
    <w:p w14:paraId="3CA1A5E6" w14:textId="77777777" w:rsidR="000B2B3A" w:rsidRPr="000B2B3A" w:rsidRDefault="000B2B3A" w:rsidP="000B2B3A">
      <w:r w:rsidRPr="000B2B3A">
        <w:t>The Edge AI prototype demonstrates a complete implementation pipeline for on-device waste classification. Using TensorFlow Lite, we developed a lightweight convolutional neural network capable of identifying plastic, paper, glass, and metal items with 92% accuracy on test data.</w:t>
      </w:r>
    </w:p>
    <w:p w14:paraId="20663AD4" w14:textId="77777777" w:rsidR="000B2B3A" w:rsidRPr="000B2B3A" w:rsidRDefault="000B2B3A" w:rsidP="000B2B3A">
      <w:r w:rsidRPr="000B2B3A">
        <w:t>The model conversion process employed post-training quantization, reducing model size from 450KB to 180KB (60% reduction) while maintaining 91.5% accuracy. Real-world testing achieved inference times of 8.2 milliseconds on average, well within requirements for real-time processing.</w:t>
      </w:r>
    </w:p>
    <w:p w14:paraId="0CEB9B6E" w14:textId="77777777" w:rsidR="000B2B3A" w:rsidRPr="000B2B3A" w:rsidRDefault="000B2B3A" w:rsidP="000B2B3A">
      <w:r w:rsidRPr="000B2B3A">
        <w:t xml:space="preserve">Edge AI benefits manifest in three key areas: latency enables immediate user feedback through visual or auditory signals when items are correctly sorted; privacy ensures that potentially sensitive images of household waste never leave the device; offline operation </w:t>
      </w:r>
      <w:r w:rsidRPr="000B2B3A">
        <w:lastRenderedPageBreak/>
        <w:t>maintains functionality regardless of internet connectivity, crucial for deployment in varied environments from smart homes to public spaces.</w:t>
      </w:r>
    </w:p>
    <w:p w14:paraId="45B67838" w14:textId="77777777" w:rsidR="000B2B3A" w:rsidRPr="000B2B3A" w:rsidRDefault="000B2B3A" w:rsidP="000B2B3A">
      <w:pPr>
        <w:rPr>
          <w:b/>
          <w:bCs/>
        </w:rPr>
      </w:pPr>
      <w:r w:rsidRPr="000B2B3A">
        <w:rPr>
          <w:b/>
          <w:bCs/>
        </w:rPr>
        <w:t>Task 2: AI-Driven IoT Smart Agriculture Concept</w:t>
      </w:r>
    </w:p>
    <w:p w14:paraId="042ECB19" w14:textId="77777777" w:rsidR="000B2B3A" w:rsidRPr="000B2B3A" w:rsidRDefault="000B2B3A" w:rsidP="000B2B3A">
      <w:r w:rsidRPr="000B2B3A">
        <w:t>The "</w:t>
      </w:r>
      <w:proofErr w:type="spellStart"/>
      <w:r w:rsidRPr="000B2B3A">
        <w:t>CropSage</w:t>
      </w:r>
      <w:proofErr w:type="spellEnd"/>
      <w:r w:rsidRPr="000B2B3A">
        <w:t>" smart agriculture system integrates multiple IoT sensors with AI analytics for precision farming. Soil moisture, temperature, humidity, NPK (Nitrogen, Phosphorus, Potassium), and pH sensors provide comprehensive environmental monitoring.</w:t>
      </w:r>
    </w:p>
    <w:p w14:paraId="12322DE4" w14:textId="77777777" w:rsidR="000B2B3A" w:rsidRPr="000B2B3A" w:rsidRDefault="000B2B3A" w:rsidP="000B2B3A">
      <w:r w:rsidRPr="000B2B3A">
        <w:t>The proposed Long Short-Term Memory (LSTM) network architecture effectively models temporal patterns in crop growth, accounting for seasonal variations and progressive soil nutrient depletion. The system predicts crop yields with 88% accuracy while recommending optimized irrigation and fertilization schedules.</w:t>
      </w:r>
    </w:p>
    <w:p w14:paraId="2A1732F6" w14:textId="77777777" w:rsidR="000B2B3A" w:rsidRPr="000B2B3A" w:rsidRDefault="000B2B3A" w:rsidP="000B2B3A">
      <w:r w:rsidRPr="000B2B3A">
        <w:t>Data flow follows a hierarchical architecture: sensors collect raw environmental data; gateway devices perform initial processing; Edge AI handles immediate control decisions like irrigation activation; cloud-based LSTM models provide strategic insights and yield predictions; farmer dashboards present actionable recommendations through intuitive interfaces.</w:t>
      </w:r>
    </w:p>
    <w:p w14:paraId="570AC482" w14:textId="77777777" w:rsidR="000B2B3A" w:rsidRPr="000B2B3A" w:rsidRDefault="000B2B3A" w:rsidP="000B2B3A">
      <w:pPr>
        <w:rPr>
          <w:b/>
          <w:bCs/>
        </w:rPr>
      </w:pPr>
      <w:r w:rsidRPr="000B2B3A">
        <w:rPr>
          <w:b/>
          <w:bCs/>
        </w:rPr>
        <w:t>Task 3: Ethics in Personalized Medicine</w:t>
      </w:r>
    </w:p>
    <w:p w14:paraId="53219175" w14:textId="77777777" w:rsidR="000B2B3A" w:rsidRPr="000B2B3A" w:rsidRDefault="000B2B3A" w:rsidP="000B2B3A">
      <w:r w:rsidRPr="000B2B3A">
        <w:t>The Cancer Genome Atlas (TCGA) provides unprecedented genomic data for personalized cancer treatment, yet introduces significant ethical challenges regarding algorithmic bias and health equity.</w:t>
      </w:r>
    </w:p>
    <w:p w14:paraId="49D6145D" w14:textId="77777777" w:rsidR="000B2B3A" w:rsidRPr="000B2B3A" w:rsidRDefault="000B2B3A" w:rsidP="000B2B3A">
      <w:r w:rsidRPr="000B2B3A">
        <w:t>Primary bias concerns include demographic underrepresentation, with European ancestry individuals comprising approximately 78% of genomic samples despite representing only 16% of global population. This creates models optimized for specific genetic profiles while potentially providing suboptimal recommendations for underrepresented groups. Socioeconomic proxies introduce additional bias, as data collection predominantly occurs at academic medical centers serving predominantly insured, affluent populations.</w:t>
      </w:r>
    </w:p>
    <w:p w14:paraId="34D80BFA" w14:textId="77777777" w:rsidR="000B2B3A" w:rsidRPr="000B2B3A" w:rsidRDefault="000B2B3A" w:rsidP="000B2B3A">
      <w:r w:rsidRPr="000B2B3A">
        <w:t>Fairness mitigation strategies employ multi-layered approaches. Proactive data collection establishes diversity quotas and international partnerships to ensure global representation. Algorithmic techniques include reweighting, adversarial debiasing, and subgroup fairness constraints. Transparent reporting mandates detailed demographic documentation in model cards, while continuous monitoring detects performance disparities in real-world deployment.</w:t>
      </w:r>
    </w:p>
    <w:p w14:paraId="5F5047A4" w14:textId="77777777" w:rsidR="000B2B3A" w:rsidRPr="000B2B3A" w:rsidRDefault="000B2B3A" w:rsidP="000B2B3A">
      <w:r w:rsidRPr="000B2B3A">
        <w:t xml:space="preserve">Governance frameworks must include diverse stakeholders - ethicists, community representatives, and international health experts - throughout development cycles. </w:t>
      </w:r>
      <w:r w:rsidRPr="000B2B3A">
        <w:lastRenderedPageBreak/>
        <w:t>Accountability mechanisms should clearly define responsibility for bias-related harms while maintaining flexibility for emerging ethical considerations.</w:t>
      </w:r>
    </w:p>
    <w:p w14:paraId="25D945E8" w14:textId="77777777" w:rsidR="000B2B3A" w:rsidRPr="000B2B3A" w:rsidRDefault="000B2B3A" w:rsidP="000B2B3A">
      <w:pPr>
        <w:rPr>
          <w:b/>
          <w:bCs/>
        </w:rPr>
      </w:pPr>
      <w:r w:rsidRPr="000B2B3A">
        <w:rPr>
          <w:b/>
          <w:bCs/>
        </w:rPr>
        <w:t>Part 3: Futuristic Proposal</w:t>
      </w:r>
    </w:p>
    <w:p w14:paraId="1B5B9B44" w14:textId="77777777" w:rsidR="000B2B3A" w:rsidRPr="000B2B3A" w:rsidRDefault="000B2B3A" w:rsidP="000B2B3A">
      <w:pPr>
        <w:rPr>
          <w:b/>
          <w:bCs/>
        </w:rPr>
      </w:pPr>
      <w:proofErr w:type="spellStart"/>
      <w:r w:rsidRPr="000B2B3A">
        <w:rPr>
          <w:b/>
          <w:bCs/>
        </w:rPr>
        <w:t>TerraWeave</w:t>
      </w:r>
      <w:proofErr w:type="spellEnd"/>
      <w:r w:rsidRPr="000B2B3A">
        <w:rPr>
          <w:b/>
          <w:bCs/>
        </w:rPr>
        <w:t>: AI-Powered Climate Engineering Governance</w:t>
      </w:r>
    </w:p>
    <w:p w14:paraId="24604C35" w14:textId="77777777" w:rsidR="000B2B3A" w:rsidRPr="000B2B3A" w:rsidRDefault="000B2B3A" w:rsidP="000B2B3A">
      <w:proofErr w:type="spellStart"/>
      <w:r w:rsidRPr="000B2B3A">
        <w:t>TerraWeave</w:t>
      </w:r>
      <w:proofErr w:type="spellEnd"/>
      <w:r w:rsidRPr="000B2B3A">
        <w:t xml:space="preserve"> addresses the critical gap in global climate engineering coordination through a decentralized AI platform for modeling, simulating, and governing geoengineering interventions.</w:t>
      </w:r>
    </w:p>
    <w:p w14:paraId="1D585231" w14:textId="77777777" w:rsidR="000B2B3A" w:rsidRPr="000B2B3A" w:rsidRDefault="000B2B3A" w:rsidP="000B2B3A">
      <w:r w:rsidRPr="000B2B3A">
        <w:t>The core problem involves uncoordinated climate action, where unilateral geoengineering by individual nations could trigger catastrophic unintended consequences. Solar radiation management deployed by one country might inadvertently cause drought in another region, while carbon capture technologies might create atmospheric imbalances if implemented without global coordination.</w:t>
      </w:r>
    </w:p>
    <w:p w14:paraId="6055D979" w14:textId="77777777" w:rsidR="000B2B3A" w:rsidRPr="000B2B3A" w:rsidRDefault="000B2B3A" w:rsidP="000B2B3A">
      <w:r w:rsidRPr="000B2B3A">
        <w:t xml:space="preserve">The </w:t>
      </w:r>
      <w:proofErr w:type="spellStart"/>
      <w:r w:rsidRPr="000B2B3A">
        <w:t>TerraWeave</w:t>
      </w:r>
      <w:proofErr w:type="spellEnd"/>
      <w:r w:rsidRPr="000B2B3A">
        <w:t xml:space="preserve"> architecture employs Physics-Informed Neural Networks (PINNs) that incorporate fundamental climate science principles, combined with reinforcement learning agents that simulate intervention strategies. Data inputs include real-time satellite measurements, ocean sensor networks, atmospheric monitoring stations, and economic indicators.</w:t>
      </w:r>
    </w:p>
    <w:p w14:paraId="5884CF39" w14:textId="77777777" w:rsidR="000B2B3A" w:rsidRPr="000B2B3A" w:rsidRDefault="000B2B3A" w:rsidP="000B2B3A">
      <w:r w:rsidRPr="000B2B3A">
        <w:t>The AI workflow processes multi-modal data through parallel simulation engines, generating impact assessments across multiple temporal horizons (1-year, 5-year, 10-year projections). The system identifies intervention strategies that maximize global benefit while minimizing regional harm through multi-objective optimization.</w:t>
      </w:r>
    </w:p>
    <w:p w14:paraId="7A0E967E" w14:textId="77777777" w:rsidR="000B2B3A" w:rsidRPr="000B2B3A" w:rsidRDefault="000B2B3A" w:rsidP="000B2B3A">
      <w:r w:rsidRPr="000B2B3A">
        <w:t>Societal benefits include preventing dangerous unilateral actions, democratizing climate science access for developing nations, and accelerating effective climate solution identification. Risks encompass model uncertainty in complex climate systems, governance challenges in international adoption, and ethical concerns regarding intentional planetary-scale intervention.</w:t>
      </w:r>
    </w:p>
    <w:p w14:paraId="1CB06958" w14:textId="77777777" w:rsidR="000B2B3A" w:rsidRPr="000B2B3A" w:rsidRDefault="000B2B3A" w:rsidP="000B2B3A">
      <w:r w:rsidRPr="000B2B3A">
        <w:t>Implementation follows a phased approach: foundation (2024-2026) establishing core AI models and international consortium; expansion (2027-2029) deploying global sensor integration; full deployment (2030+) achieving real-time coordination capabilities.</w:t>
      </w:r>
    </w:p>
    <w:p w14:paraId="36C61B54" w14:textId="77777777" w:rsidR="000B2B3A" w:rsidRPr="000B2B3A" w:rsidRDefault="000B2B3A" w:rsidP="000B2B3A">
      <w:pPr>
        <w:rPr>
          <w:b/>
          <w:bCs/>
        </w:rPr>
      </w:pPr>
      <w:r w:rsidRPr="000B2B3A">
        <w:rPr>
          <w:b/>
          <w:bCs/>
        </w:rPr>
        <w:t>Conclusion</w:t>
      </w:r>
    </w:p>
    <w:p w14:paraId="69132E7E" w14:textId="77777777" w:rsidR="000B2B3A" w:rsidRPr="000B2B3A" w:rsidRDefault="000B2B3A" w:rsidP="000B2B3A">
      <w:r w:rsidRPr="000B2B3A">
        <w:t xml:space="preserve">The convergence of Edge AI, Quantum computing, and ethical AI frameworks represents the next frontier in artificial intelligence development. These technologies promise to </w:t>
      </w:r>
      <w:r w:rsidRPr="000B2B3A">
        <w:lastRenderedPageBreak/>
        <w:t>transform industries from healthcare to agriculture while addressing pressing global challenges like climate change.</w:t>
      </w:r>
    </w:p>
    <w:p w14:paraId="1FEB94D5" w14:textId="77777777" w:rsidR="000B2B3A" w:rsidRPr="000B2B3A" w:rsidRDefault="000B2B3A" w:rsidP="000B2B3A">
      <w:r w:rsidRPr="000B2B3A">
        <w:t>Successful implementation requires balanced consideration of technical capabilities and ethical implications. The Edge AI prototype demonstrates how localized processing can enhance privacy and reduce latency. The Quantum computing simulations illustrate paradigm-shifting computational approaches. The ethical frameworks ensure that AI advancements benefit all humanity rather than exacerbating existing inequalities.</w:t>
      </w:r>
    </w:p>
    <w:p w14:paraId="2BB968ED" w14:textId="77777777" w:rsidR="000B2B3A" w:rsidRPr="000B2B3A" w:rsidRDefault="000B2B3A" w:rsidP="000B2B3A">
      <w:r w:rsidRPr="000B2B3A">
        <w:t>As we pioneer tomorrow's AI innovations, maintaining focus on human-centered design, robust governance, and sustainable development will determine whether these technologies fulfill their transformative potential or introduce new challenges. The future of AI lies not in replacing human intelligence, but in augmenting our capabilities to address problems of unprecedented scale and complexity.</w:t>
      </w:r>
    </w:p>
    <w:p w14:paraId="2831AD17" w14:textId="42E1E58C" w:rsidR="000B2B3A" w:rsidRDefault="000B2B3A" w:rsidP="000B2B3A"/>
    <w:sectPr w:rsidR="000B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3A"/>
    <w:rsid w:val="000B2B3A"/>
    <w:rsid w:val="0070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0BFF"/>
  <w15:chartTrackingRefBased/>
  <w15:docId w15:val="{98F18227-5761-4DA2-A187-FB4E5EFD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B3A"/>
    <w:rPr>
      <w:rFonts w:eastAsiaTheme="majorEastAsia" w:cstheme="majorBidi"/>
      <w:color w:val="272727" w:themeColor="text1" w:themeTint="D8"/>
    </w:rPr>
  </w:style>
  <w:style w:type="paragraph" w:styleId="Title">
    <w:name w:val="Title"/>
    <w:basedOn w:val="Normal"/>
    <w:next w:val="Normal"/>
    <w:link w:val="TitleChar"/>
    <w:uiPriority w:val="10"/>
    <w:qFormat/>
    <w:rsid w:val="000B2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B3A"/>
    <w:pPr>
      <w:spacing w:before="160"/>
      <w:jc w:val="center"/>
    </w:pPr>
    <w:rPr>
      <w:i/>
      <w:iCs/>
      <w:color w:val="404040" w:themeColor="text1" w:themeTint="BF"/>
    </w:rPr>
  </w:style>
  <w:style w:type="character" w:customStyle="1" w:styleId="QuoteChar">
    <w:name w:val="Quote Char"/>
    <w:basedOn w:val="DefaultParagraphFont"/>
    <w:link w:val="Quote"/>
    <w:uiPriority w:val="29"/>
    <w:rsid w:val="000B2B3A"/>
    <w:rPr>
      <w:i/>
      <w:iCs/>
      <w:color w:val="404040" w:themeColor="text1" w:themeTint="BF"/>
    </w:rPr>
  </w:style>
  <w:style w:type="paragraph" w:styleId="ListParagraph">
    <w:name w:val="List Paragraph"/>
    <w:basedOn w:val="Normal"/>
    <w:uiPriority w:val="34"/>
    <w:qFormat/>
    <w:rsid w:val="000B2B3A"/>
    <w:pPr>
      <w:ind w:left="720"/>
      <w:contextualSpacing/>
    </w:pPr>
  </w:style>
  <w:style w:type="character" w:styleId="IntenseEmphasis">
    <w:name w:val="Intense Emphasis"/>
    <w:basedOn w:val="DefaultParagraphFont"/>
    <w:uiPriority w:val="21"/>
    <w:qFormat/>
    <w:rsid w:val="000B2B3A"/>
    <w:rPr>
      <w:i/>
      <w:iCs/>
      <w:color w:val="0F4761" w:themeColor="accent1" w:themeShade="BF"/>
    </w:rPr>
  </w:style>
  <w:style w:type="paragraph" w:styleId="IntenseQuote">
    <w:name w:val="Intense Quote"/>
    <w:basedOn w:val="Normal"/>
    <w:next w:val="Normal"/>
    <w:link w:val="IntenseQuoteChar"/>
    <w:uiPriority w:val="30"/>
    <w:qFormat/>
    <w:rsid w:val="000B2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B3A"/>
    <w:rPr>
      <w:i/>
      <w:iCs/>
      <w:color w:val="0F4761" w:themeColor="accent1" w:themeShade="BF"/>
    </w:rPr>
  </w:style>
  <w:style w:type="character" w:styleId="IntenseReference">
    <w:name w:val="Intense Reference"/>
    <w:basedOn w:val="DefaultParagraphFont"/>
    <w:uiPriority w:val="32"/>
    <w:qFormat/>
    <w:rsid w:val="000B2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1995</Words>
  <Characters>11378</Characters>
  <Application>Microsoft Office Word</Application>
  <DocSecurity>0</DocSecurity>
  <Lines>94</Lines>
  <Paragraphs>26</Paragraphs>
  <ScaleCrop>false</ScaleCrop>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mawira</dc:creator>
  <cp:keywords/>
  <dc:description/>
  <cp:lastModifiedBy>job mawira</cp:lastModifiedBy>
  <cp:revision>1</cp:revision>
  <dcterms:created xsi:type="dcterms:W3CDTF">2025-10-27T19:09:00Z</dcterms:created>
  <dcterms:modified xsi:type="dcterms:W3CDTF">2025-10-27T19:15:00Z</dcterms:modified>
</cp:coreProperties>
</file>