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0"/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olor w:val="C0392B"/>
          <w:sz w:val="52"/>
          <w:szCs w:val="52"/>
        </w:rPr>
        <w:t xml:space="preserve">BRAND GUIDELINES</w:t>
      </w:r>
    </w:p>
    <w:p>
      <w:pPr>
        <w:spacing w:after="400" w:before="0"/>
        <w:jc w:val="center"/>
      </w:pPr>
      <w:r>
        <w:rPr>
          <w:rFonts w:ascii="Georgia" w:cs="Georgia" w:eastAsia="Georgia" w:hAnsi="Georgia"/>
          <w:color w:val="3D3D3D"/>
          <w:sz w:val="28"/>
          <w:szCs w:val="28"/>
        </w:rPr>
        <w:t xml:space="preserve">Associazione Italiana Malattia di Still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Identità visiva · Colori · Tipografia · Utilizzo del logo</w:t>
      </w:r>
    </w:p>
    <w:p>
      <w:pPr>
        <w:spacing w:after="0" w:before="0"/>
      </w:pPr>
      <w:r>
        <w:br w:type="page"/>
      </w:r>
    </w:p>
    <w:p>
      <w:pPr>
        <w:pBdr>
          <w:bottom w:val="single" w:color="C0392B" w:sz="4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C0392B"/>
          <w:sz w:val="40"/>
          <w:szCs w:val="40"/>
        </w:rPr>
        <w:t xml:space="preserve">1. Introduzione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Questo documento raccoglie le linee guida per l'identità visiva dell'Associazione Italiana Malattia di Still. L'obiettivo è garantire coerenza nella comunicazione su tutti i canali — digitale, stampa e social media — rafforzando il riconoscimento del brand e trasmettendo i valori fondamentali dell'associazione.</w:t>
      </w:r>
    </w:p>
    <w:p>
      <w:pPr>
        <w:spacing w:after="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Ogni elemento del brand — dal logo ai colori, dalla tipografia al tono visivo — è stato concepito per comunicare: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Vicinanza e cura verso i pazienti e le loro famiglie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Serietà scientifica e credibilità istituzionale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Speranza, comunità e sostegno reciproco</w:t>
      </w:r>
    </w:p>
    <w:p>
      <w:pPr>
        <w:spacing w:after="0" w:before="200"/>
      </w:pPr>
    </w:p>
    <w:p>
      <w:pPr>
        <w:pBdr>
          <w:bottom w:val="single" w:color="C0392B" w:sz="4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C0392B"/>
          <w:sz w:val="40"/>
          <w:szCs w:val="40"/>
        </w:rPr>
        <w:t xml:space="preserve">2. Il Logo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2.1 Anatomia del logo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Il logo è composto da due elementi distinti che devono sempre essere utilizzati insieme nella configurazione principale:</w:t>
      </w: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Marchio grafico: composizione circolare di elementi organici (ovali) in sfumature di rosso-rosa, che richiamano le cellule del sistema immunitario e il senso di comunità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Logotipo: nome esteso su due righe — "Associaione Italiana" in grigio antracite (peso leggero) e "Malattia di Still" in rosso carminio (peso bold)</w:t>
      </w:r>
    </w:p>
    <w:p>
      <w:pPr>
        <w:spacing w:after="0" w:before="12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2.2 Versioni ammesse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Il logo può essere utilizzato nelle seguenti versioni: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Versione principale: marchio + logotipo (uso generale, comunicazioni ufficiali)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Versione solo marchio: simbolo grafico senza testo (uso in formati quadrati, icone, profili social)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Versione monocromatica: in grigio scuro su sfondo chiaro (stampa in bianco/nero)</w:t>
      </w:r>
    </w:p>
    <w:p>
      <w:pPr>
        <w:spacing w:after="0" w:before="12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2.3 Spazio di rispetto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Intorno al logo deve essere sempre mantenuta un'area libera da altri elementi grafici o testuali. Lo spazio minimo di rispetto è pari all'altezza della lettera 'M' di 'Malattia' su ciascun lato.</w:t>
      </w:r>
    </w:p>
    <w:p>
      <w:pPr>
        <w:spacing w:after="0" w:before="12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2.4 Dimensioni minime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Stampa: larghezza minima 30 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Digitale: larghezza minima 80 px</w:t>
      </w:r>
    </w:p>
    <w:p>
      <w:pPr>
        <w:spacing w:after="0" w:before="12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2.5 Utilizzi non consentiti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Per preservare l'integrità del brand, è vietato: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Modificare le proporzioni del logo (deformazioni, distorsioni)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Alterare i colori originali del marchio o del logotipo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Aggiungere ombre, effetti 3D, contorni o filtri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Posizionare il logo su sfondi che ne compromettano la leggibilità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Separare il marchio grafico dal logotipo nella versione principale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Ruotare o capovolgere il logo</w:t>
      </w:r>
    </w:p>
    <w:p>
      <w:pPr>
        <w:spacing w:after="0" w:before="200"/>
      </w:pPr>
    </w:p>
    <w:p>
      <w:pPr>
        <w:pBdr>
          <w:bottom w:val="single" w:color="C0392B" w:sz="4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C0392B"/>
          <w:sz w:val="40"/>
          <w:szCs w:val="40"/>
        </w:rPr>
        <w:t xml:space="preserve">3. Palette Colori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La palette è ispirata ai toni caldi del logo. I rossi e rosa evocano calore umano e vitalità; i grigi garantiscono equilibrio e leggibilità professionale.</w:t>
      </w:r>
    </w:p>
    <w:p>
      <w:pPr>
        <w:spacing w:after="0" w:before="16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3.1 Colori primari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6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67A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/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single" w:color="B0B0B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18"/>
                <w:szCs w:val="18"/>
              </w:rPr>
              <w:t xml:space="preserve">Rosso Brand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HEX #C0392B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RGB 192 57 43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CMYK 0 70 78 25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single" w:color="B0B0B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18"/>
                <w:szCs w:val="18"/>
              </w:rPr>
              <w:t xml:space="preserve">Rosa Salmone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HEX #E8867A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RGB 232 134 122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CMYK 0 42 47 9</w:t>
            </w:r>
          </w:p>
        </w:tc>
      </w:tr>
    </w:tbl>
    <w:p>
      <w:pPr>
        <w:spacing w:after="0" w:before="16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3.2 Colori secondari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6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B5A8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9D4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/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single" w:color="B0B0B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18"/>
                <w:szCs w:val="18"/>
              </w:rPr>
              <w:t xml:space="preserve">Rosa Chiaro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HEX #F2B5A8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RGB 242 181 168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CMYK 0 25 31 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single" w:color="B0B0B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18"/>
                <w:szCs w:val="18"/>
              </w:rPr>
              <w:t xml:space="preserve">Rosa Pallido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HEX #FAD9D4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RGB 250 217 212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CMYK 0 13 15 2</w:t>
            </w:r>
          </w:p>
        </w:tc>
      </w:tr>
    </w:tbl>
    <w:p>
      <w:pPr>
        <w:spacing w:after="0" w:before="16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3.3 Colori neutri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626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3D3D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/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6B6B" w:val="clear"/>
            <w:tcMar>
              <w:top w:type="dxa" w:w="300"/>
              <w:left w:type="dxa" w:w="80"/>
              <w:bottom w:type="dxa" w:w="300"/>
              <w:right w:type="dxa" w:w="80"/>
            </w:tcMar>
          </w:tcPr>
          <w:p/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single" w:color="B0B0B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18"/>
                <w:szCs w:val="18"/>
              </w:rPr>
              <w:t xml:space="preserve">Antracite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HEX #3D3D3D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RGB 61 61 61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CMYK 0 0 0 76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single" w:color="B0B0B0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3D3D"/>
                <w:sz w:val="18"/>
                <w:szCs w:val="18"/>
              </w:rPr>
              <w:t xml:space="preserve">Grigio Testo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HEX #6B6B6B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RGB 107 107 107</w:t>
            </w:r>
          </w:p>
          <w:p>
            <w:r>
              <w:rPr>
                <w:rFonts w:ascii="Courier New" w:cs="Courier New" w:eastAsia="Courier New" w:hAnsi="Courier New"/>
                <w:color w:val="6B6B6B"/>
                <w:sz w:val="16"/>
                <w:szCs w:val="16"/>
              </w:rPr>
              <w:t xml:space="preserve">CMYK 0 0 0 58</w:t>
            </w:r>
          </w:p>
        </w:tc>
      </w:tr>
    </w:tbl>
    <w:p>
      <w:pPr>
        <w:spacing w:after="0" w:before="16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3.4 Utilizzo dei colori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Principi di composizione cromatica: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Il Rosso Brand (#C0392B) è riservato a elementi di enfasi: titoli principali, call-to-action, accenti grafici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Il Rosa Salmone (#E8867A) è il colore complementare per elementi decorativi e illustrazioni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L'Antracite (#3D3D3D) è il colore standard per il corpo del testo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I rosa chiari (#F2B5A8, #FAD9D4) si usano per sfondi, separatori e aree di sfondo tenue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Il bianco (#FFFFFF) è lo sfondo predefinito per tutti i materiali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⚠ Non utilizzare il rosso brand per grandi aree di sfondo: la leggibilità del testo bianco su rosso è ridotta e va usata solo per elementi grafici di piccole dimensioni.</w:t>
      </w:r>
    </w:p>
    <w:p>
      <w:pPr>
        <w:spacing w:after="0" w:before="200"/>
      </w:pPr>
    </w:p>
    <w:p>
      <w:pPr>
        <w:spacing w:after="0" w:before="0"/>
      </w:pPr>
      <w:r>
        <w:br w:type="page"/>
      </w:r>
    </w:p>
    <w:p>
      <w:pPr>
        <w:pBdr>
          <w:bottom w:val="single" w:color="C0392B" w:sz="4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C0392B"/>
          <w:sz w:val="40"/>
          <w:szCs w:val="40"/>
        </w:rPr>
        <w:t xml:space="preserve">4. Tipografia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Il sistema tipografico si basa su due famiglie di font complementari, scelti per garantire eleganza istituzionale e massima leggibilità.</w:t>
      </w:r>
    </w:p>
    <w:p>
      <w:pPr>
        <w:spacing w:after="0" w:before="16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4.1 Font principale — Georgia (Titoli)</w:t>
      </w:r>
    </w:p>
    <w:p>
      <w:pPr>
        <w:spacing w:after="60" w:before="120"/>
      </w:pPr>
      <w:r>
        <w:rPr>
          <w:rFonts w:ascii="Georgia" w:cs="Georgia" w:eastAsia="Georgia" w:hAnsi="Georgia"/>
          <w:color w:val="C0392B"/>
          <w:sz w:val="36"/>
          <w:szCs w:val="36"/>
        </w:rPr>
        <w:t xml:space="preserve">Aa Bb Cc Dd Ee Ff Gg Hh Ii Jj Kk Ll Mm</w:t>
      </w:r>
    </w:p>
    <w:p>
      <w:pPr>
        <w:spacing w:after="120" w:before="0"/>
      </w:pPr>
      <w:r>
        <w:rPr>
          <w:rFonts w:ascii="Georgia" w:cs="Georgia" w:eastAsia="Georgia" w:hAnsi="Georgia"/>
          <w:color w:val="3D3D3D"/>
          <w:sz w:val="28"/>
          <w:szCs w:val="28"/>
        </w:rPr>
        <w:t xml:space="preserve">0 1 2 3 4 5 6 7 8 9 ! ? . , ; : ( 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Georgia è un carattere serif che trasmette autorevolezza e calore. Viene impiegato per tutti i titoli, intestazioni e claim principali.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Titolo principale (H1): Georgia, 20pt, Bold, Rosso Brand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Titolo sezione (H2): Georgia, 14pt, Bold, Rosso Medio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Claim / tagline: Georgia, 12pt, Italic, Antracite</w:t>
      </w:r>
    </w:p>
    <w:p>
      <w:pPr>
        <w:spacing w:after="0" w:before="16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4.2 Font secondario — Calibri (Corpo testo)</w:t>
      </w:r>
    </w:p>
    <w:p>
      <w:pPr>
        <w:spacing w:after="60" w:before="120"/>
      </w:pPr>
      <w:r>
        <w:rPr>
          <w:rFonts w:ascii="Calibri" w:cs="Calibri" w:eastAsia="Calibri" w:hAnsi="Calibri"/>
          <w:color w:val="3D3D3D"/>
          <w:sz w:val="36"/>
          <w:szCs w:val="36"/>
        </w:rPr>
        <w:t xml:space="preserve">Aa Bb Cc Dd Ee Ff Gg Hh Ii Jj Kk Ll Mm</w:t>
      </w:r>
    </w:p>
    <w:p>
      <w:pPr>
        <w:spacing w:after="120" w:before="0"/>
      </w:pPr>
      <w:r>
        <w:rPr>
          <w:rFonts w:ascii="Calibri" w:cs="Calibri" w:eastAsia="Calibri" w:hAnsi="Calibri"/>
          <w:color w:val="6B6B6B"/>
          <w:sz w:val="28"/>
          <w:szCs w:val="28"/>
        </w:rPr>
        <w:t xml:space="preserve">0 1 2 3 4 5 6 7 8 9 ! ? . , ; : ( )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Calibri è un sans-serif moderno e leggibile, ideale per lunghi blocchi di testo. Garantisce leggibilità ottimale su schermo e in stampa.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Corpo testo: Calibri, 11pt, Regular, Antracite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Didascalie: Calibri, 9pt, Italic, Grigio Medio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Note legali: Calibri, 8pt, Regular, Grigio Medio</w:t>
      </w:r>
    </w:p>
    <w:p>
      <w:pPr>
        <w:spacing w:after="0" w:before="16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4.3 Gerarchia tipografica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22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Stile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Colore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Titolo H1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Georgia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20pt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Bold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#C0392B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Titolo H2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Georgia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14pt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Bold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#D95B52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Sottotitolo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Calibri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12pt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Regular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#3D3D3D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Corpo testo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Calibri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11pt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Regular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#3D3D3D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Didascalia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Calibri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9pt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Italic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2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#6B6B6B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Calibri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8pt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Regular</w:t>
            </w:r>
          </w:p>
        </w:tc>
        <w:tc>
          <w:tcPr>
            <w:tcW w:type="dxa" w:w="2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D3D"/>
                <w:sz w:val="18"/>
                <w:szCs w:val="18"/>
              </w:rPr>
              <w:t xml:space="preserve">#6B6B6B</w:t>
            </w:r>
          </w:p>
        </w:tc>
      </w:tr>
    </w:tbl>
    <w:p>
      <w:pPr>
        <w:spacing w:after="0" w:before="200"/>
      </w:pPr>
    </w:p>
    <w:p>
      <w:pPr>
        <w:spacing w:after="0" w:before="0"/>
      </w:pPr>
      <w:r>
        <w:br w:type="page"/>
      </w:r>
    </w:p>
    <w:p>
      <w:pPr>
        <w:pBdr>
          <w:bottom w:val="single" w:color="C0392B" w:sz="4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C0392B"/>
          <w:sz w:val="40"/>
          <w:szCs w:val="40"/>
        </w:rPr>
        <w:t xml:space="preserve">5. Tono Visivo e Fotografia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5.1 Stile fotografico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Le immagini utilizzate nelle comunicazioni dell'associazione devono riflettere calore umano, autenticità e speranza. Si privilegiano: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Fotografie di persone reali, preferibilmente in contesti di vita quotidiana o in ambienti medici accoglienti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Toni caldi, luminosi, con leggera sottoesposizione nei mezzitoni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Composizioni con spazio bianco abbondante, coerente con il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Primo piano su espressioni positive: connessione, supporto, determinazione</w:t>
      </w:r>
    </w:p>
    <w:p>
      <w:pPr>
        <w:spacing w:after="0" w:before="12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5.2 Trattamento cromatico delle immagini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Preferire immagini con dominante calda (beige, pesca, crema)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Evitare fotografie con dominante fredda (blu, verde-grigio) non elaborate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In caso di overlay grafico, usare una velatura in Rosa Pallido (#FAD9D4) al 20–30% di opacità</w:t>
      </w:r>
    </w:p>
    <w:p>
      <w:pPr>
        <w:spacing w:after="0" w:before="12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5.3 Icone e illustrazioni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Stile lineare (line icons), tratto uniforme di 2px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Palette ristretta: Rosso Brand + Antracite su sfondo bianco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Forme organiche preferite alle geometrie rigide, coerentemente con il marchio</w:t>
      </w:r>
    </w:p>
    <w:p>
      <w:pPr>
        <w:spacing w:after="0" w:before="200"/>
      </w:pPr>
    </w:p>
    <w:p>
      <w:pPr>
        <w:pBdr>
          <w:bottom w:val="single" w:color="C0392B" w:sz="4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C0392B"/>
          <w:sz w:val="40"/>
          <w:szCs w:val="40"/>
        </w:rPr>
        <w:t xml:space="preserve">6. Applicazioni del Brand</w:t>
      </w: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6.1 Carta intestata e documenti ufficiali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Logo in alto a sinistra (larghezza max 40mm)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Rosso Brand per l'intestazione e i titoli principali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Corpo in Calibri 11pt, Antracite, interlinea 1.5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Piè di pagina con indirizzo e contatti in Calibri 8pt, Grigio Medio</w:t>
      </w:r>
    </w:p>
    <w:p>
      <w:pPr>
        <w:spacing w:after="0" w:before="12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6.2 Email e newsletter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Header con logo centrato su sfondo bianco o Rosa Pallido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Titolo in Georgia Bold, Rosso Brand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Corpo testo in Calibri 14px (web), Antracite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Bottone CTA: sfondo Rosso Brand, testo bianco, angoli arrotondati (4px)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Footer con link social e disiscrizione in grigio</w:t>
      </w:r>
    </w:p>
    <w:p>
      <w:pPr>
        <w:spacing w:after="0" w:before="12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6.3 Social 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Formato profilo: marchio grafico su sfondo bianco, padding 15%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Post quadrati: background Rosa Pallido o bianco, logo in angolo inferiore destro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Ratio per immagini: 1:1 (feed), 9:16 (stories), 16:9 (cover)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Non usare il logo su sfondi fotografici senza area bianca di rispetto</w:t>
      </w:r>
    </w:p>
    <w:p>
      <w:pPr>
        <w:spacing w:after="0" w:before="120"/>
      </w:pPr>
    </w:p>
    <w:p>
      <w:pPr>
        <w:spacing w:after="120" w:before="360"/>
      </w:pPr>
      <w:r>
        <w:rPr>
          <w:rFonts w:ascii="Georgia" w:cs="Georgia" w:eastAsia="Georgia" w:hAnsi="Georgia"/>
          <w:b/>
          <w:bCs/>
          <w:color w:val="D95B52"/>
          <w:sz w:val="28"/>
          <w:szCs w:val="28"/>
        </w:rPr>
        <w:t xml:space="preserve">6.4 Stampa e merchandising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Materiali informativi: formato A4/A5, copertina con logo centrato e sfondo bianco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Banner roll-up: logo in alto centrato, altezza minima 8cm, sfondo bianco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Gadget: incisione/ricamo del solo marchio grafico quando le dimensioni non consentono il logotipo</w:t>
      </w:r>
    </w:p>
    <w:p>
      <w:pPr>
        <w:spacing w:after="0" w:before="200"/>
      </w:pPr>
    </w:p>
    <w:p>
      <w:pPr>
        <w:pBdr>
          <w:bottom w:val="single" w:color="C0392B" w:sz="4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C0392B"/>
          <w:sz w:val="40"/>
          <w:szCs w:val="40"/>
        </w:rPr>
        <w:t xml:space="preserve">7. Contatti per il Brand</w:t>
      </w:r>
    </w:p>
    <w:p>
      <w:pPr>
        <w:spacing w:after="80" w:before="80"/>
        <w:jc w:val="both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Per qualsiasi dubbio sull'utilizzo del brand, richiesta di asset o approvazione di materiali non standard, contattare il responsabile comunicazione dell'associazione prima della pubblicazione.</w:t>
      </w:r>
    </w:p>
    <w:p>
      <w:pPr>
        <w:spacing w:after="0" w:before="12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3D3D3D"/>
          <w:sz w:val="22"/>
          <w:szCs w:val="22"/>
        </w:rPr>
        <w:t xml:space="preserve">Ogni utilizzo del logo o dei materiali grafici al di fuori delle presenti linee guida richiede approvazione esplicita scritta da parte dell'associazione.</w:t>
      </w:r>
    </w:p>
    <w:p>
      <w:pPr>
        <w:spacing w:after="0" w:before="400"/>
      </w:pPr>
    </w:p>
    <w:p>
      <w:pPr>
        <w:spacing w:after="0" w:before="200"/>
        <w:jc w:val="center"/>
      </w:pPr>
      <w:r>
        <w:rPr>
          <w:rFonts w:ascii="Georgia" w:cs="Georgia" w:eastAsia="Georgia" w:hAnsi="Georgia"/>
          <w:i/>
          <w:iCs/>
          <w:color w:val="B0B0B0"/>
          <w:sz w:val="20"/>
          <w:szCs w:val="20"/>
        </w:rPr>
        <w:t xml:space="preserve">— Fine documento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AD9D4" w:sz="2" w:space="4"/>
      </w:pBdr>
    </w:pPr>
    <w:r>
      <w:rPr>
        <w:rFonts w:ascii="Calibri" w:cs="Calibri" w:eastAsia="Calibri" w:hAnsi="Calibri"/>
        <w:color w:val="6B6B6B"/>
        <w:sz w:val="16"/>
        <w:szCs w:val="16"/>
      </w:rPr>
      <w:t xml:space="preserve">© Associazione Italiana Malattia di Still  — 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AD9D4" w:sz="2" w:space="4"/>
      </w:pBdr>
      <w:spacing w:after="0"/>
    </w:pPr>
    <w:r>
      <w:rPr>
        <w:rFonts w:ascii="Calibri" w:cs="Calibri" w:eastAsia="Calibri" w:hAnsi="Calibri"/>
        <w:color w:val="6B6B6B"/>
        <w:sz w:val="16"/>
        <w:szCs w:val="16"/>
      </w:rPr>
      <w:t xml:space="preserve">Brand Guidelines  |  Associazione Italiana Malattia di Still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3D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8573787dfb6713ff061aa2faed9333d689271f6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2026-03-14T15:44:43.633Z</dcterms:created>
  <dcterms:modified xsi:type="dcterms:W3CDTF">2026-03-14T15:44:43.634Z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