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B3D" w:rsidRPr="007677CB" w:rsidRDefault="0025105F" w:rsidP="00304A6E">
      <w:pPr>
        <w:pStyle w:val="Titel"/>
      </w:pPr>
      <w:r>
        <w:t>Titel</w:t>
      </w:r>
    </w:p>
    <w:p w:rsidR="00162B3D" w:rsidRPr="00187707" w:rsidRDefault="0025105F" w:rsidP="00187707">
      <w:pPr>
        <w:pStyle w:val="Author"/>
      </w:pPr>
      <w:r>
        <w:t>Untertitel</w:t>
      </w:r>
    </w:p>
    <w:p w:rsidR="00162B3D" w:rsidRPr="00187707" w:rsidRDefault="004844D7" w:rsidP="00187707">
      <w:pPr>
        <w:pStyle w:val="Datum"/>
      </w:pPr>
      <w:r w:rsidRPr="00187707">
        <w:t>22.28.2019</w:t>
      </w:r>
    </w:p>
    <w:p w:rsidR="00162B3D" w:rsidRPr="00E44438" w:rsidRDefault="0025105F" w:rsidP="00304A6E">
      <w:pPr>
        <w:pStyle w:val="berschrift1"/>
      </w:pPr>
      <w:bookmarkStart w:id="0" w:name="zusammenfassung"/>
      <w:bookmarkEnd w:id="0"/>
      <w:r>
        <w:t>Überschri</w:t>
      </w:r>
      <w:r w:rsidR="002357A6">
        <w:t>f</w:t>
      </w:r>
      <w:r>
        <w:t xml:space="preserve">t </w:t>
      </w:r>
      <w:r w:rsidR="002357A6">
        <w:t>e</w:t>
      </w:r>
      <w:r>
        <w:t>rste Ebene</w:t>
      </w:r>
    </w:p>
    <w:p w:rsidR="00162B3D" w:rsidRPr="003D19B5" w:rsidRDefault="0025105F" w:rsidP="00304A6E">
      <w:pPr>
        <w:pStyle w:val="berschrift2"/>
      </w:pPr>
      <w:bookmarkStart w:id="1" w:name="einleitung"/>
      <w:bookmarkStart w:id="2" w:name="verbreitung-fragwurdiger-forschungsprakt"/>
      <w:bookmarkEnd w:id="1"/>
      <w:bookmarkEnd w:id="2"/>
      <w:r w:rsidRPr="003D19B5">
        <w:t>Überschri</w:t>
      </w:r>
      <w:r w:rsidR="002357A6" w:rsidRPr="003D19B5">
        <w:t>f</w:t>
      </w:r>
      <w:r w:rsidRPr="003D19B5">
        <w:t xml:space="preserve">t </w:t>
      </w:r>
      <w:r w:rsidR="002357A6" w:rsidRPr="003D19B5">
        <w:t>z</w:t>
      </w:r>
      <w:r w:rsidRPr="003D19B5">
        <w:t>weite Ebene</w:t>
      </w:r>
    </w:p>
    <w:p w:rsidR="00E44438" w:rsidRPr="003D19B5" w:rsidRDefault="00E44438" w:rsidP="00304A6E">
      <w:pPr>
        <w:pStyle w:val="berschrift3"/>
      </w:pPr>
      <w:r w:rsidRPr="003D19B5">
        <w:t>Überschrift dritte Ebene</w:t>
      </w:r>
    </w:p>
    <w:p w:rsidR="00162B3D" w:rsidRPr="00A7256D" w:rsidRDefault="004844D7" w:rsidP="00304A6E">
      <w:r w:rsidRPr="00A7256D">
        <w:t>Den Ergebnissen in di</w:t>
      </w:r>
      <w:r w:rsidRPr="00304A6E">
        <w:t>esem Abschnitt liegen die Daten der 1147 Teilnehmenden zugrunde, die angaben, bereits mindestens ein empirisches Projekt im Laufe ihres Studiums durchgeführt oder begonnen zu haben</w:t>
      </w:r>
      <w:r w:rsidR="003774F0" w:rsidRPr="00304A6E">
        <w:footnoteReference w:id="1"/>
      </w:r>
      <w:r w:rsidRPr="00304A6E">
        <w:t>.</w:t>
      </w:r>
    </w:p>
    <w:p w:rsidR="00162B3D" w:rsidRPr="00AD7AC2" w:rsidRDefault="004844D7" w:rsidP="00304A6E">
      <w:r w:rsidRPr="00AD7AC2">
        <w:t xml:space="preserve">Aus den Angaben der Teilnehmenden ergab sich ein mittlerer Einsatz von 1.26 fragwürdigen Forschungspraktiken (SD = 1.40) pro Projekt. Wie in Abbildung 1 zu sehen ist, zeigten sich dabei Unterschiede zwischen den abgefragten Projekten. Besonders viele fragwürdige Praktiken scheinen demnach mit durchschnittlich 1.42 Praktiken pro Projekt im </w:t>
      </w:r>
      <w:proofErr w:type="spellStart"/>
      <w:r w:rsidRPr="00AD7AC2">
        <w:t>Expra</w:t>
      </w:r>
      <w:proofErr w:type="spellEnd"/>
      <w:r w:rsidRPr="00AD7AC2">
        <w:t xml:space="preserve"> verwendet zu werden, während Masterarbeiten mit durchschnittlich 0.5 verwendeten fragwürdigen Praktiken den niedrigsten Wert aufweisen. Betrachtet man die Projekte, die sich eindeutig nach Studienfortschritt ordnen lassen, also </w:t>
      </w:r>
      <w:proofErr w:type="spellStart"/>
      <w:r w:rsidRPr="00AD7AC2">
        <w:t>Expra</w:t>
      </w:r>
      <w:proofErr w:type="spellEnd"/>
      <w:r w:rsidRPr="00AD7AC2">
        <w:t>, Bachelorarbeit und Masterarbeit, so zeigt sich ein deutlicher Trend: Mit fortschreitendem Studium wurden immer weniger fragwürdige Forschungspraktiken von unseren Teilnehmenden eingesetzt.</w:t>
      </w:r>
    </w:p>
    <w:p w:rsidR="00162B3D" w:rsidRPr="005D4D96" w:rsidRDefault="004844D7" w:rsidP="00304A6E">
      <w:r w:rsidRPr="005D4D96">
        <w:rPr>
          <w:noProof/>
        </w:rPr>
        <w:lastRenderedPageBreak/>
        <w:drawing>
          <wp:inline distT="0" distB="0" distL="0" distR="0">
            <wp:extent cx="5969000" cy="3355785"/>
            <wp:effectExtent l="0" t="0" r="0" b="0"/>
            <wp:docPr id="1" name="Picture" descr="Figure 1 Anzahl eingesetzter fragwürdiger Forschungspraktiken aufgeschlüsselt nach Art des Projek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plots/german/plot02_g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5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3D" w:rsidRPr="000B0150" w:rsidRDefault="0025105F" w:rsidP="00304A6E">
      <w:pPr>
        <w:pStyle w:val="ImageCaption"/>
      </w:pPr>
      <w:r>
        <w:t>Abbildungsbeschriftung</w:t>
      </w:r>
    </w:p>
    <w:p w:rsidR="00162B3D" w:rsidRPr="00900072" w:rsidRDefault="0025105F" w:rsidP="00304A6E">
      <w:pPr>
        <w:pStyle w:val="TableCaption"/>
      </w:pPr>
      <w:r>
        <w:t>Tabellenüberschrift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1 Beschreibung"/>
      </w:tblPr>
      <w:tblGrid>
        <w:gridCol w:w="2271"/>
        <w:gridCol w:w="755"/>
        <w:gridCol w:w="1256"/>
      </w:tblGrid>
      <w:tr w:rsidR="00162B3D" w:rsidRPr="005D4D96" w:rsidTr="001A5B3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answer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count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share</w:t>
            </w:r>
            <w:proofErr w:type="spellEnd"/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HARKing</w:t>
            </w:r>
            <w:proofErr w:type="spellEnd"/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1034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73.962804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No</w:t>
            </w:r>
            <w:proofErr w:type="spellEnd"/>
            <w:r w:rsidRPr="005D4D96">
              <w:t xml:space="preserve"> Sample </w:t>
            </w:r>
            <w:proofErr w:type="spellStart"/>
            <w:r w:rsidRPr="005D4D96">
              <w:t>Planning</w:t>
            </w:r>
            <w:proofErr w:type="spellEnd"/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911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65.164521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 xml:space="preserve">SR </w:t>
            </w:r>
            <w:proofErr w:type="spellStart"/>
            <w:r w:rsidRPr="005D4D96">
              <w:t>of</w:t>
            </w:r>
            <w:proofErr w:type="spellEnd"/>
            <w:r w:rsidRPr="005D4D96">
              <w:t xml:space="preserve"> Variables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895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64.020029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 xml:space="preserve">SR </w:t>
            </w:r>
            <w:proofErr w:type="spellStart"/>
            <w:r w:rsidRPr="005D4D96">
              <w:t>of</w:t>
            </w:r>
            <w:proofErr w:type="spellEnd"/>
            <w:r w:rsidRPr="005D4D96">
              <w:t xml:space="preserve"> </w:t>
            </w:r>
            <w:proofErr w:type="spellStart"/>
            <w:r w:rsidRPr="005D4D96">
              <w:t>Hypotheses</w:t>
            </w:r>
            <w:proofErr w:type="spellEnd"/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853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61.015737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Flexible Sample Size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841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60.157368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 xml:space="preserve">Flexible </w:t>
            </w:r>
            <w:proofErr w:type="spellStart"/>
            <w:r w:rsidRPr="005D4D96">
              <w:t>Exclusion</w:t>
            </w:r>
            <w:proofErr w:type="spellEnd"/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838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59.942775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 xml:space="preserve">SR </w:t>
            </w:r>
            <w:proofErr w:type="spellStart"/>
            <w:r w:rsidRPr="005D4D96">
              <w:t>of</w:t>
            </w:r>
            <w:proofErr w:type="spellEnd"/>
            <w:r w:rsidRPr="005D4D96">
              <w:t xml:space="preserve"> </w:t>
            </w:r>
            <w:proofErr w:type="spellStart"/>
            <w:r w:rsidRPr="005D4D96">
              <w:t>Conditions</w:t>
            </w:r>
            <w:proofErr w:type="spellEnd"/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821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58.726753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Flexible Analysis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710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50.786838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proofErr w:type="spellStart"/>
            <w:r w:rsidRPr="005D4D96">
              <w:t>Rounding</w:t>
            </w:r>
            <w:proofErr w:type="spellEnd"/>
            <w:r w:rsidRPr="005D4D96">
              <w:t xml:space="preserve"> p-Values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556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39.771102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Not Sure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130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9.298999</w:t>
            </w:r>
          </w:p>
        </w:tc>
      </w:tr>
      <w:tr w:rsidR="00162B3D" w:rsidRPr="005D4D96" w:rsidTr="001A5B3A">
        <w:trPr>
          <w:jc w:val="center"/>
        </w:trPr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None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57</w:t>
            </w:r>
          </w:p>
        </w:tc>
        <w:tc>
          <w:tcPr>
            <w:tcW w:w="0" w:type="auto"/>
          </w:tcPr>
          <w:p w:rsidR="00162B3D" w:rsidRPr="005D4D96" w:rsidRDefault="004844D7" w:rsidP="00304A6E">
            <w:pPr>
              <w:pStyle w:val="Compact"/>
            </w:pPr>
            <w:r w:rsidRPr="005D4D96">
              <w:t>4.077253</w:t>
            </w:r>
          </w:p>
        </w:tc>
      </w:tr>
    </w:tbl>
    <w:p w:rsidR="002357A6" w:rsidRDefault="002357A6" w:rsidP="00304A6E">
      <w:bookmarkStart w:id="3" w:name="einstellung-von-studierenden"/>
      <w:bookmarkStart w:id="4" w:name="literatur"/>
      <w:bookmarkEnd w:id="3"/>
      <w:bookmarkEnd w:id="4"/>
    </w:p>
    <w:p w:rsidR="002357A6" w:rsidRDefault="002357A6" w:rsidP="00304A6E"/>
    <w:p w:rsidR="00162B3D" w:rsidRPr="005D4D96" w:rsidRDefault="004844D7" w:rsidP="00304A6E">
      <w:pPr>
        <w:pStyle w:val="berschrift1"/>
      </w:pPr>
      <w:r w:rsidRPr="005D4D96">
        <w:lastRenderedPageBreak/>
        <w:t>Literatur</w:t>
      </w:r>
    </w:p>
    <w:p w:rsidR="00162B3D" w:rsidRPr="005D4D96" w:rsidRDefault="004844D7" w:rsidP="00304A6E">
      <w:pPr>
        <w:pStyle w:val="FirstParagraph"/>
      </w:pPr>
      <w:r w:rsidRPr="005D4D96">
        <w:t xml:space="preserve">   </w:t>
      </w:r>
    </w:p>
    <w:p w:rsidR="00162B3D" w:rsidRPr="00EF637C" w:rsidRDefault="004844D7" w:rsidP="00304A6E">
      <w:pPr>
        <w:pStyle w:val="Literaturverzeichnis"/>
      </w:pPr>
      <w:r w:rsidRPr="00EF637C">
        <w:t xml:space="preserve">John, L. K., </w:t>
      </w:r>
      <w:proofErr w:type="spellStart"/>
      <w:r w:rsidRPr="00EF637C">
        <w:t>Loewenstein</w:t>
      </w:r>
      <w:proofErr w:type="spellEnd"/>
      <w:r w:rsidRPr="00EF637C">
        <w:t xml:space="preserve">, G., &amp; </w:t>
      </w:r>
      <w:proofErr w:type="spellStart"/>
      <w:r w:rsidRPr="00EF637C">
        <w:t>Prelec</w:t>
      </w:r>
      <w:proofErr w:type="spellEnd"/>
      <w:r w:rsidRPr="00EF637C">
        <w:t xml:space="preserve">, D. (2012). </w:t>
      </w:r>
      <w:proofErr w:type="spellStart"/>
      <w:r w:rsidRPr="00EF637C">
        <w:t>Measuring</w:t>
      </w:r>
      <w:proofErr w:type="spellEnd"/>
      <w:r w:rsidRPr="00EF637C">
        <w:t xml:space="preserve"> </w:t>
      </w:r>
      <w:proofErr w:type="spellStart"/>
      <w:r w:rsidRPr="00EF637C">
        <w:t>the</w:t>
      </w:r>
      <w:proofErr w:type="spellEnd"/>
      <w:r w:rsidRPr="00EF637C">
        <w:t xml:space="preserve"> </w:t>
      </w:r>
      <w:proofErr w:type="spellStart"/>
      <w:r w:rsidRPr="006534AC">
        <w:t>Prevalence</w:t>
      </w:r>
      <w:proofErr w:type="spellEnd"/>
      <w:r w:rsidRPr="00EF637C">
        <w:t xml:space="preserve"> </w:t>
      </w:r>
      <w:proofErr w:type="spellStart"/>
      <w:r w:rsidRPr="00EF637C">
        <w:t>of</w:t>
      </w:r>
      <w:proofErr w:type="spellEnd"/>
      <w:r w:rsidRPr="00EF637C">
        <w:t xml:space="preserve"> </w:t>
      </w:r>
      <w:proofErr w:type="spellStart"/>
      <w:r w:rsidRPr="00EF637C">
        <w:t>Questionable</w:t>
      </w:r>
      <w:proofErr w:type="spellEnd"/>
      <w:r w:rsidRPr="00EF637C">
        <w:t xml:space="preserve"> Research Practices </w:t>
      </w:r>
      <w:proofErr w:type="spellStart"/>
      <w:r w:rsidRPr="00EF637C">
        <w:t>With</w:t>
      </w:r>
      <w:proofErr w:type="spellEnd"/>
      <w:r w:rsidRPr="00EF637C">
        <w:t xml:space="preserve"> Incentives </w:t>
      </w:r>
      <w:proofErr w:type="spellStart"/>
      <w:r w:rsidRPr="00EF637C">
        <w:t>for</w:t>
      </w:r>
      <w:proofErr w:type="spellEnd"/>
      <w:r w:rsidRPr="00EF637C">
        <w:t xml:space="preserve"> </w:t>
      </w:r>
      <w:proofErr w:type="spellStart"/>
      <w:r w:rsidRPr="00EF637C">
        <w:t>Truth</w:t>
      </w:r>
      <w:proofErr w:type="spellEnd"/>
      <w:r w:rsidRPr="00EF637C">
        <w:t xml:space="preserve"> </w:t>
      </w:r>
      <w:proofErr w:type="spellStart"/>
      <w:r w:rsidRPr="00EF637C">
        <w:t>Telling</w:t>
      </w:r>
      <w:proofErr w:type="spellEnd"/>
      <w:r w:rsidRPr="00EF637C">
        <w:t xml:space="preserve">. Psychological Science, 23(5), 524–532. </w:t>
      </w:r>
      <w:hyperlink r:id="rId9">
        <w:r w:rsidRPr="00022DA7">
          <w:rPr>
            <w:rStyle w:val="Hyperlink"/>
            <w:color w:val="365F91" w:themeColor="accent1" w:themeShade="BF"/>
          </w:rPr>
          <w:t>https://doi.org/10.1177/0956797611430953</w:t>
        </w:r>
      </w:hyperlink>
    </w:p>
    <w:p w:rsidR="00162B3D" w:rsidRPr="005D4D96" w:rsidRDefault="004844D7" w:rsidP="00304A6E">
      <w:pPr>
        <w:pStyle w:val="Literaturverzeichnis"/>
      </w:pPr>
      <w:r w:rsidRPr="005D4D96">
        <w:t xml:space="preserve">Simmons, J. P., Nelson, L. D., &amp; </w:t>
      </w:r>
      <w:proofErr w:type="spellStart"/>
      <w:r w:rsidRPr="005D4D96">
        <w:t>Simonsohn</w:t>
      </w:r>
      <w:proofErr w:type="spellEnd"/>
      <w:r w:rsidRPr="005D4D96">
        <w:t xml:space="preserve">, U. (2018). </w:t>
      </w:r>
      <w:proofErr w:type="spellStart"/>
      <w:r w:rsidRPr="005D4D96">
        <w:t>False</w:t>
      </w:r>
      <w:proofErr w:type="spellEnd"/>
      <w:r w:rsidRPr="005D4D96">
        <w:t xml:space="preserve">-Positive </w:t>
      </w:r>
      <w:proofErr w:type="spellStart"/>
      <w:r w:rsidRPr="005D4D96">
        <w:t>Citations</w:t>
      </w:r>
      <w:proofErr w:type="spellEnd"/>
      <w:r w:rsidRPr="005D4D96">
        <w:t xml:space="preserve">. </w:t>
      </w:r>
      <w:proofErr w:type="spellStart"/>
      <w:r w:rsidRPr="005D4D96">
        <w:rPr>
          <w:i/>
        </w:rPr>
        <w:t>Perspectives</w:t>
      </w:r>
      <w:proofErr w:type="spellEnd"/>
      <w:r w:rsidRPr="005D4D96">
        <w:rPr>
          <w:i/>
        </w:rPr>
        <w:t xml:space="preserve"> on Psychological Science</w:t>
      </w:r>
      <w:r w:rsidRPr="005D4D96">
        <w:t xml:space="preserve">, </w:t>
      </w:r>
      <w:r w:rsidRPr="005D4D96">
        <w:rPr>
          <w:i/>
        </w:rPr>
        <w:t>13</w:t>
      </w:r>
      <w:r w:rsidRPr="005D4D96">
        <w:t xml:space="preserve">(2), 255–259. </w:t>
      </w:r>
      <w:hyperlink r:id="rId10">
        <w:r w:rsidRPr="005D4D96">
          <w:rPr>
            <w:rStyle w:val="Hyperlink"/>
          </w:rPr>
          <w:t>https://doi.org/10.1177/1745691617698146</w:t>
        </w:r>
      </w:hyperlink>
    </w:p>
    <w:sectPr w:rsidR="00162B3D" w:rsidRPr="005D4D96" w:rsidSect="00F901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20" w:footer="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43CB" w:rsidRDefault="00A643CB" w:rsidP="00304A6E">
      <w:r>
        <w:separator/>
      </w:r>
    </w:p>
    <w:p w:rsidR="00A643CB" w:rsidRDefault="00A643CB" w:rsidP="00304A6E"/>
  </w:endnote>
  <w:endnote w:type="continuationSeparator" w:id="0">
    <w:p w:rsidR="00A643CB" w:rsidRDefault="00A643CB" w:rsidP="00304A6E">
      <w:r>
        <w:continuationSeparator/>
      </w:r>
    </w:p>
    <w:p w:rsidR="00A643CB" w:rsidRDefault="00A643CB" w:rsidP="00304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71302354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B3B43" w:rsidRDefault="004844D7" w:rsidP="00304A6E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9B3B43" w:rsidRDefault="00A643CB" w:rsidP="00304A6E">
    <w:pPr>
      <w:pStyle w:val="Fuzeile"/>
    </w:pPr>
  </w:p>
  <w:p w:rsidR="00000000" w:rsidRDefault="00A643CB" w:rsidP="00304A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263566480"/>
      <w:docPartObj>
        <w:docPartGallery w:val="Page Numbers (Bottom of Page)"/>
        <w:docPartUnique/>
      </w:docPartObj>
    </w:sdtPr>
    <w:sdtEndPr>
      <w:rPr>
        <w:rStyle w:val="Seitenzahl"/>
        <w:sz w:val="20"/>
        <w:szCs w:val="20"/>
      </w:rPr>
    </w:sdtEndPr>
    <w:sdtContent>
      <w:p w:rsidR="009B3B43" w:rsidRPr="00BB3774" w:rsidRDefault="00BB3774" w:rsidP="00304A6E">
        <w:pPr>
          <w:pStyle w:val="Fuzeile"/>
          <w:rPr>
            <w:rStyle w:val="Seitenzahl"/>
            <w:sz w:val="20"/>
            <w:szCs w:val="20"/>
          </w:rPr>
        </w:pPr>
        <w:r w:rsidRPr="00BB3774">
          <w:rPr>
            <w:rStyle w:val="Seitenzahl"/>
            <w:sz w:val="20"/>
            <w:szCs w:val="20"/>
          </w:rPr>
          <w:t xml:space="preserve">Seite </w:t>
        </w:r>
        <w:r w:rsidRPr="00BB3774">
          <w:rPr>
            <w:rStyle w:val="Seitenzahl"/>
            <w:sz w:val="20"/>
            <w:szCs w:val="20"/>
          </w:rPr>
          <w:fldChar w:fldCharType="begin"/>
        </w:r>
        <w:r w:rsidRPr="00BB3774">
          <w:rPr>
            <w:rStyle w:val="Seitenzahl"/>
            <w:sz w:val="20"/>
            <w:szCs w:val="20"/>
          </w:rPr>
          <w:instrText xml:space="preserve"> PAGE  \* MERGEFORMAT </w:instrText>
        </w:r>
        <w:r w:rsidRPr="00BB3774">
          <w:rPr>
            <w:rStyle w:val="Seitenzahl"/>
            <w:sz w:val="20"/>
            <w:szCs w:val="20"/>
          </w:rPr>
          <w:fldChar w:fldCharType="separate"/>
        </w:r>
        <w:r w:rsidRPr="00BB3774">
          <w:rPr>
            <w:rStyle w:val="Seitenzahl"/>
            <w:noProof/>
            <w:sz w:val="20"/>
            <w:szCs w:val="20"/>
          </w:rPr>
          <w:t>1</w:t>
        </w:r>
        <w:r w:rsidRPr="00BB3774">
          <w:rPr>
            <w:rStyle w:val="Seitenzahl"/>
            <w:sz w:val="20"/>
            <w:szCs w:val="20"/>
          </w:rPr>
          <w:fldChar w:fldCharType="end"/>
        </w:r>
        <w:r w:rsidRPr="00BB3774">
          <w:rPr>
            <w:rStyle w:val="Seitenzahl"/>
            <w:sz w:val="20"/>
            <w:szCs w:val="20"/>
          </w:rPr>
          <w:t xml:space="preserve"> von </w:t>
        </w:r>
        <w:r w:rsidRPr="00BB3774">
          <w:rPr>
            <w:rStyle w:val="Seitenzahl"/>
            <w:sz w:val="20"/>
            <w:szCs w:val="20"/>
          </w:rPr>
          <w:fldChar w:fldCharType="begin"/>
        </w:r>
        <w:r w:rsidRPr="00BB3774">
          <w:rPr>
            <w:rStyle w:val="Seitenzahl"/>
            <w:sz w:val="20"/>
            <w:szCs w:val="20"/>
          </w:rPr>
          <w:instrText xml:space="preserve"> NUMPAGES  \* MERGEFORMAT </w:instrText>
        </w:r>
        <w:r w:rsidRPr="00BB3774">
          <w:rPr>
            <w:rStyle w:val="Seitenzahl"/>
            <w:sz w:val="20"/>
            <w:szCs w:val="20"/>
          </w:rPr>
          <w:fldChar w:fldCharType="separate"/>
        </w:r>
        <w:r w:rsidRPr="00BB3774">
          <w:rPr>
            <w:rStyle w:val="Seitenzahl"/>
            <w:noProof/>
            <w:sz w:val="20"/>
            <w:szCs w:val="20"/>
          </w:rPr>
          <w:t>6</w:t>
        </w:r>
        <w:r w:rsidRPr="00BB3774">
          <w:rPr>
            <w:rStyle w:val="Seitenzahl"/>
            <w:sz w:val="20"/>
            <w:szCs w:val="20"/>
          </w:rPr>
          <w:fldChar w:fldCharType="end"/>
        </w:r>
      </w:p>
    </w:sdtContent>
  </w:sdt>
  <w:p w:rsidR="009B3B43" w:rsidRDefault="00A643CB" w:rsidP="00304A6E">
    <w:pPr>
      <w:pStyle w:val="Fuzeile"/>
    </w:pPr>
  </w:p>
  <w:p w:rsidR="00000000" w:rsidRDefault="00A643CB" w:rsidP="00304A6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B24" w:rsidRDefault="00C93B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43CB" w:rsidRDefault="00A643CB" w:rsidP="00304A6E">
      <w:r>
        <w:separator/>
      </w:r>
    </w:p>
    <w:p w:rsidR="00A643CB" w:rsidRDefault="00A643CB" w:rsidP="00304A6E"/>
  </w:footnote>
  <w:footnote w:type="continuationSeparator" w:id="0">
    <w:p w:rsidR="00A643CB" w:rsidRDefault="00A643CB" w:rsidP="00304A6E">
      <w:r>
        <w:continuationSeparator/>
      </w:r>
    </w:p>
    <w:p w:rsidR="00A643CB" w:rsidRDefault="00A643CB" w:rsidP="00304A6E"/>
  </w:footnote>
  <w:footnote w:id="1">
    <w:p w:rsidR="003774F0" w:rsidRDefault="003774F0" w:rsidP="00304A6E">
      <w:pPr>
        <w:pStyle w:val="Funotentext"/>
      </w:pPr>
      <w:r w:rsidRPr="00E07626">
        <w:rPr>
          <w:rStyle w:val="Funotenzeichen"/>
        </w:rPr>
        <w:footnoteRef/>
      </w:r>
      <w:r w:rsidRPr="00E07626">
        <w:t xml:space="preserve"> </w:t>
      </w:r>
      <w:r w:rsidRPr="00CA2151">
        <w:t>Fußnote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B24" w:rsidRDefault="00C93B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70AD" w:rsidRDefault="004270AD" w:rsidP="00304A6E">
    <w:pPr>
      <w:pStyle w:val="Kopfzeile"/>
    </w:pPr>
    <w:r>
      <w:t>Replikationskrise</w:t>
    </w:r>
    <w:r w:rsidR="0015773F">
      <w:t>,</w:t>
    </w:r>
    <w:r>
      <w:t xml:space="preserve"> Open Science</w:t>
    </w:r>
    <w:r w:rsidR="0015773F">
      <w:t xml:space="preserve"> </w:t>
    </w:r>
    <w:r w:rsidR="00C93B24">
      <w:t>und</w:t>
    </w:r>
    <w:r w:rsidR="0015773F">
      <w:t xml:space="preserve"> </w:t>
    </w:r>
    <w:r w:rsidR="0015773F" w:rsidRPr="0015773F">
      <w:rPr>
        <w:i/>
        <w:iCs/>
      </w:rPr>
      <w:t>p</w:t>
    </w:r>
    <w:r w:rsidR="0015773F">
      <w:t>-</w:t>
    </w:r>
    <w:proofErr w:type="spellStart"/>
    <w:r w:rsidR="0015773F">
      <w:t>hacking</w:t>
    </w:r>
    <w:proofErr w:type="spellEnd"/>
    <w:r>
      <w:t xml:space="preserve">: Die </w:t>
    </w:r>
    <w:r w:rsidR="00B57702">
      <w:t xml:space="preserve">Sicht der </w:t>
    </w:r>
    <w:r>
      <w:t>Studierenden</w:t>
    </w:r>
  </w:p>
  <w:p w:rsidR="00000000" w:rsidRDefault="00A643CB" w:rsidP="00304A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B24" w:rsidRDefault="00C93B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9E76B0"/>
    <w:multiLevelType w:val="multilevel"/>
    <w:tmpl w:val="53D6B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5978E45"/>
    <w:multiLevelType w:val="multilevel"/>
    <w:tmpl w:val="4C48D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46559E7"/>
    <w:multiLevelType w:val="multilevel"/>
    <w:tmpl w:val="02FCD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7B0CFC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24563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324B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B08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5E45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4DED8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36826B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742BE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D52D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3C69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AFC9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B76ACE"/>
    <w:multiLevelType w:val="multilevel"/>
    <w:tmpl w:val="7F683B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DA7"/>
    <w:rsid w:val="000B0150"/>
    <w:rsid w:val="00100A1B"/>
    <w:rsid w:val="0015773F"/>
    <w:rsid w:val="00162B3D"/>
    <w:rsid w:val="00187707"/>
    <w:rsid w:val="001A5B3A"/>
    <w:rsid w:val="001B235D"/>
    <w:rsid w:val="001E2C3B"/>
    <w:rsid w:val="002357A6"/>
    <w:rsid w:val="00241AF7"/>
    <w:rsid w:val="0025105F"/>
    <w:rsid w:val="00293B3E"/>
    <w:rsid w:val="002A3256"/>
    <w:rsid w:val="002B7640"/>
    <w:rsid w:val="00304A6E"/>
    <w:rsid w:val="003774F0"/>
    <w:rsid w:val="003D19B5"/>
    <w:rsid w:val="003D398F"/>
    <w:rsid w:val="00424EB7"/>
    <w:rsid w:val="004270AD"/>
    <w:rsid w:val="00465034"/>
    <w:rsid w:val="004844D7"/>
    <w:rsid w:val="004E1D83"/>
    <w:rsid w:val="004E29B3"/>
    <w:rsid w:val="00590D07"/>
    <w:rsid w:val="005A4914"/>
    <w:rsid w:val="005D4D96"/>
    <w:rsid w:val="005F6055"/>
    <w:rsid w:val="006534AC"/>
    <w:rsid w:val="00653A56"/>
    <w:rsid w:val="006926A5"/>
    <w:rsid w:val="00706E93"/>
    <w:rsid w:val="007677CB"/>
    <w:rsid w:val="00784D58"/>
    <w:rsid w:val="008968A7"/>
    <w:rsid w:val="008D6863"/>
    <w:rsid w:val="00900072"/>
    <w:rsid w:val="0093250F"/>
    <w:rsid w:val="009520A6"/>
    <w:rsid w:val="009D4FC6"/>
    <w:rsid w:val="00A40DFD"/>
    <w:rsid w:val="00A643CB"/>
    <w:rsid w:val="00A7256D"/>
    <w:rsid w:val="00A73AB7"/>
    <w:rsid w:val="00AD7AC2"/>
    <w:rsid w:val="00B57702"/>
    <w:rsid w:val="00B86B75"/>
    <w:rsid w:val="00BB3774"/>
    <w:rsid w:val="00BC48D5"/>
    <w:rsid w:val="00C36279"/>
    <w:rsid w:val="00C93B24"/>
    <w:rsid w:val="00CA0368"/>
    <w:rsid w:val="00CA2151"/>
    <w:rsid w:val="00CE1123"/>
    <w:rsid w:val="00E07626"/>
    <w:rsid w:val="00E315A3"/>
    <w:rsid w:val="00E44438"/>
    <w:rsid w:val="00EF637C"/>
    <w:rsid w:val="00F901C4"/>
    <w:rsid w:val="00FD0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1763"/>
  <w15:docId w15:val="{F89CF7E4-5A90-4E43-AC34-46BE58CC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4A6E"/>
    <w:pPr>
      <w:spacing w:before="180" w:after="180" w:line="360" w:lineRule="auto"/>
      <w:jc w:val="both"/>
    </w:pPr>
    <w:rPr>
      <w:rFonts w:ascii="Arial" w:hAnsi="Arial" w:cs="Arial"/>
      <w:sz w:val="22"/>
      <w:szCs w:val="22"/>
      <w:lang w:val="de-DE"/>
    </w:rPr>
  </w:style>
  <w:style w:type="paragraph" w:styleId="berschrift1">
    <w:name w:val="heading 1"/>
    <w:basedOn w:val="Standard2"/>
    <w:next w:val="Textkrper"/>
    <w:uiPriority w:val="9"/>
    <w:qFormat/>
    <w:rsid w:val="00E44438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2"/>
    <w:next w:val="Textkrper"/>
    <w:uiPriority w:val="9"/>
    <w:unhideWhenUsed/>
    <w:qFormat/>
    <w:rsid w:val="003D19B5"/>
    <w:pPr>
      <w:keepNext/>
      <w:keepLines/>
      <w:spacing w:before="200" w:after="0"/>
      <w:jc w:val="left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2"/>
    <w:next w:val="Textkrper"/>
    <w:uiPriority w:val="9"/>
    <w:unhideWhenUsed/>
    <w:qFormat/>
    <w:rsid w:val="003D19B5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i/>
      <w:iCs/>
      <w:color w:val="000000" w:themeColor="text1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E44438"/>
    <w:pPr>
      <w:keepNext/>
      <w:keepLines/>
      <w:spacing w:before="200" w:after="0"/>
      <w:ind w:left="720"/>
      <w:outlineLvl w:val="3"/>
    </w:pPr>
    <w:rPr>
      <w:rFonts w:eastAsiaTheme="majorEastAsia"/>
      <w:b/>
      <w:bCs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rsid w:val="001E2C3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rsid w:val="001E2C3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rsid w:val="001E2C3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424EB7"/>
    <w:pPr>
      <w:jc w:val="left"/>
    </w:pPr>
  </w:style>
  <w:style w:type="paragraph" w:customStyle="1" w:styleId="FirstParagraph">
    <w:name w:val="First Paragraph"/>
    <w:basedOn w:val="Textkrper"/>
    <w:next w:val="Textkrper"/>
    <w:qFormat/>
    <w:rsid w:val="009B3B4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2"/>
    <w:next w:val="Textkrper"/>
    <w:qFormat/>
    <w:rsid w:val="007677CB"/>
    <w:pPr>
      <w:keepNext/>
      <w:keepLines/>
      <w:spacing w:before="480" w:after="240"/>
      <w:jc w:val="center"/>
    </w:pPr>
    <w:rPr>
      <w:rFonts w:eastAsiaTheme="majorEastAsia"/>
      <w:color w:val="000000" w:themeColor="text1"/>
      <w:sz w:val="40"/>
      <w:szCs w:val="40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187707"/>
    <w:pPr>
      <w:keepNext/>
      <w:keepLines/>
      <w:jc w:val="center"/>
    </w:pPr>
    <w:rPr>
      <w:rFonts w:ascii="Arial" w:hAnsi="Arial" w:cs="Arial"/>
      <w:sz w:val="22"/>
      <w:szCs w:val="22"/>
      <w:lang w:val="de-DE"/>
    </w:rPr>
  </w:style>
  <w:style w:type="paragraph" w:styleId="Datum">
    <w:name w:val="Date"/>
    <w:next w:val="Textkrper"/>
    <w:qFormat/>
    <w:rsid w:val="00187707"/>
    <w:pPr>
      <w:keepNext/>
      <w:keepLines/>
      <w:jc w:val="center"/>
    </w:pPr>
    <w:rPr>
      <w:rFonts w:ascii="Arial" w:hAnsi="Arial" w:cs="Arial"/>
      <w:sz w:val="22"/>
      <w:szCs w:val="22"/>
      <w:lang w:val="de-DE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6534AC"/>
    <w:pPr>
      <w:spacing w:before="0" w:after="0"/>
      <w:ind w:left="720" w:hanging="720"/>
      <w:jc w:val="left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CE1123"/>
    <w:pPr>
      <w:spacing w:before="120" w:after="120" w:line="240" w:lineRule="auto"/>
      <w:jc w:val="left"/>
    </w:pPr>
    <w:rPr>
      <w:sz w:val="20"/>
      <w:szCs w:val="20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900072"/>
    <w:pPr>
      <w:keepNext/>
      <w:spacing w:before="360"/>
      <w:jc w:val="center"/>
    </w:pPr>
  </w:style>
  <w:style w:type="paragraph" w:customStyle="1" w:styleId="ImageCaption">
    <w:name w:val="Image Caption"/>
    <w:basedOn w:val="Beschriftung"/>
    <w:rsid w:val="000B0150"/>
    <w:pPr>
      <w:spacing w:after="360"/>
      <w:jc w:val="center"/>
    </w:p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rsid w:val="003857E9"/>
    <w:pPr>
      <w:keepNext/>
      <w:jc w:val="center"/>
    </w:pPr>
    <w:rPr>
      <w:noProof/>
    </w:r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uzeile">
    <w:name w:val="footer"/>
    <w:basedOn w:val="Standard"/>
    <w:link w:val="FuzeileZchn"/>
    <w:unhideWhenUsed/>
    <w:rsid w:val="009B3B43"/>
    <w:pPr>
      <w:tabs>
        <w:tab w:val="center" w:pos="4536"/>
        <w:tab w:val="right" w:pos="9072"/>
      </w:tabs>
      <w:spacing w:after="0"/>
    </w:pPr>
  </w:style>
  <w:style w:type="character" w:customStyle="1" w:styleId="TextkrperZchn">
    <w:name w:val="Textkörper Zchn"/>
    <w:basedOn w:val="Absatz-Standardschriftart"/>
    <w:link w:val="Textkrper"/>
    <w:rsid w:val="00424EB7"/>
    <w:rPr>
      <w:rFonts w:ascii="Arial" w:hAnsi="Arial" w:cs="Arial"/>
      <w:sz w:val="22"/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rsid w:val="009B3B43"/>
  </w:style>
  <w:style w:type="character" w:styleId="Seitenzahl">
    <w:name w:val="page number"/>
    <w:basedOn w:val="Absatz-Standardschriftart"/>
    <w:semiHidden/>
    <w:unhideWhenUsed/>
    <w:rsid w:val="009B3B43"/>
  </w:style>
  <w:style w:type="character" w:styleId="Zeilennummer">
    <w:name w:val="line number"/>
    <w:basedOn w:val="Absatz-Standardschriftart"/>
    <w:semiHidden/>
    <w:unhideWhenUsed/>
    <w:rsid w:val="00D05B33"/>
  </w:style>
  <w:style w:type="character" w:customStyle="1" w:styleId="berschrift7Zchn">
    <w:name w:val="Überschrift 7 Zchn"/>
    <w:basedOn w:val="Absatz-Standardschriftart"/>
    <w:link w:val="berschrift7"/>
    <w:rsid w:val="001E2C3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de-DE"/>
    </w:rPr>
  </w:style>
  <w:style w:type="character" w:customStyle="1" w:styleId="berschrift8Zchn">
    <w:name w:val="Überschrift 8 Zchn"/>
    <w:basedOn w:val="Absatz-Standardschriftart"/>
    <w:link w:val="berschrift8"/>
    <w:rsid w:val="001E2C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rsid w:val="001E2C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Kopfzeile">
    <w:name w:val="header"/>
    <w:basedOn w:val="Standard"/>
    <w:link w:val="KopfzeileZchn"/>
    <w:unhideWhenUsed/>
    <w:rsid w:val="00BB37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BB3774"/>
    <w:rPr>
      <w:rFonts w:ascii="Arial" w:hAnsi="Arial" w:cs="Arial"/>
      <w:sz w:val="22"/>
      <w:szCs w:val="22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4438"/>
    <w:rPr>
      <w:rFonts w:ascii="Arial" w:eastAsiaTheme="majorEastAsia" w:hAnsi="Arial" w:cs="Arial"/>
      <w:b/>
      <w:bCs/>
      <w:color w:val="000000" w:themeColor="text1"/>
      <w:sz w:val="22"/>
      <w:szCs w:val="22"/>
      <w:lang w:val="de-DE"/>
    </w:rPr>
  </w:style>
  <w:style w:type="paragraph" w:customStyle="1" w:styleId="Standard2">
    <w:name w:val="Standard2"/>
    <w:basedOn w:val="Standard"/>
    <w:qFormat/>
    <w:rsid w:val="00AD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i.org/10.1177/17456916176981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7/095679761143095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E596B-B813-5245-888E-C8BE33AD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Fragwürdige Forschungspraktiken in empirischen Projekten im Rahmen des Psychologie-Studiums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Fragwürdige Forschungspraktiken in empirischen Projekten im Rahmen des Psychologie-Studiums</dc:title>
  <dc:creator>PsyFaKo Open Science AG</dc:creator>
  <cp:lastModifiedBy>Johannes Brachem</cp:lastModifiedBy>
  <cp:revision>37</cp:revision>
  <dcterms:created xsi:type="dcterms:W3CDTF">2019-06-22T15:28:00Z</dcterms:created>
  <dcterms:modified xsi:type="dcterms:W3CDTF">2020-05-15T14:32:00Z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