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7B0" w:rsidRDefault="002E0C57" w:rsidP="00AD5B89">
      <w:pPr>
        <w:widowControl/>
        <w:autoSpaceDE w:val="0"/>
        <w:autoSpaceDN w:val="0"/>
        <w:adjustRightInd w:val="0"/>
        <w:spacing w:before="240" w:line="360" w:lineRule="auto"/>
        <w:jc w:val="center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 w:rsidRPr="002E0C57"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Analysis of the odds ratio among passengers and gender</w:t>
      </w:r>
      <w:r w:rsidR="00C82F24"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s</w:t>
      </w:r>
      <w:r w:rsidRPr="002E0C57"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>: Titanic Dataset</w:t>
      </w:r>
    </w:p>
    <w:p w:rsidR="00EB17B0" w:rsidRPr="00DA4F21" w:rsidRDefault="002E0C57" w:rsidP="00755156">
      <w:pPr>
        <w:widowControl/>
        <w:autoSpaceDE w:val="0"/>
        <w:autoSpaceDN w:val="0"/>
        <w:adjustRightInd w:val="0"/>
        <w:spacing w:after="240" w:line="360" w:lineRule="auto"/>
        <w:jc w:val="left"/>
        <w:rPr>
          <w:rFonts w:cs="TimesNewRomanPSMT"/>
          <w:kern w:val="0"/>
          <w:sz w:val="24"/>
          <w:szCs w:val="24"/>
        </w:rPr>
      </w:pPr>
      <w:r>
        <w:rPr>
          <w:rFonts w:cs="TimesNewRomanPSMT"/>
          <w:kern w:val="0"/>
          <w:sz w:val="24"/>
          <w:szCs w:val="24"/>
        </w:rPr>
        <w:t xml:space="preserve">We have the </w:t>
      </w:r>
      <w:r w:rsidR="00C82F24">
        <w:rPr>
          <w:rFonts w:cs="TimesNewRomanPSMT"/>
          <w:kern w:val="0"/>
          <w:sz w:val="24"/>
          <w:szCs w:val="24"/>
        </w:rPr>
        <w:t xml:space="preserve">dataset of the survival of the Titanic and its distribution on passengers and genders. We want to figure out whether the female have higher odds of survival than male. </w:t>
      </w:r>
    </w:p>
    <w:p w:rsidR="00FD3491" w:rsidRPr="00AD5B89" w:rsidRDefault="00C82F24" w:rsidP="00287D73">
      <w:pPr>
        <w:spacing w:after="240" w:line="360" w:lineRule="auto"/>
        <w:jc w:val="left"/>
        <w:rPr>
          <w:rFonts w:cs="SFRM1000"/>
          <w:kern w:val="0"/>
          <w:sz w:val="24"/>
          <w:szCs w:val="24"/>
        </w:rPr>
      </w:pPr>
      <w:r>
        <w:rPr>
          <w:rFonts w:cs="SFRM1000"/>
          <w:kern w:val="0"/>
          <w:sz w:val="24"/>
          <w:szCs w:val="24"/>
        </w:rPr>
        <w:t xml:space="preserve">From then output of the dataset, we can see that </w:t>
      </w:r>
      <w:r>
        <w:rPr>
          <w:rFonts w:ascii="ThorndaleAMT,Regular" w:hAnsi="ThorndaleAMT,Regular" w:cs="ThorndaleAMT,Regular"/>
          <w:kern w:val="0"/>
          <w:sz w:val="20"/>
          <w:szCs w:val="20"/>
        </w:rPr>
        <w:t>93.71</w:t>
      </w:r>
      <w:r>
        <w:rPr>
          <w:rFonts w:ascii="ThorndaleAMT,Regular" w:hAnsi="ThorndaleAMT,Regular" w:cs="ThorndaleAMT,Regular"/>
          <w:kern w:val="0"/>
          <w:sz w:val="20"/>
          <w:szCs w:val="20"/>
        </w:rPr>
        <w:t>%</w:t>
      </w:r>
      <w:r>
        <w:rPr>
          <w:rFonts w:cs="SFRM1000"/>
          <w:kern w:val="0"/>
          <w:sz w:val="24"/>
          <w:szCs w:val="24"/>
        </w:rPr>
        <w:t xml:space="preserve"> female survived</w:t>
      </w:r>
      <w:r w:rsidR="00E444E5">
        <w:rPr>
          <w:rFonts w:cs="SFRM1000"/>
          <w:kern w:val="0"/>
          <w:sz w:val="24"/>
          <w:szCs w:val="24"/>
        </w:rPr>
        <w:t xml:space="preserve"> </w:t>
      </w:r>
      <w:r w:rsidR="00E444E5">
        <w:rPr>
          <w:rFonts w:cs="SFRM1000"/>
          <w:kern w:val="0"/>
          <w:sz w:val="24"/>
          <w:szCs w:val="24"/>
        </w:rPr>
        <w:t>(odds ratio</w:t>
      </w:r>
      <w:r w:rsidR="00E444E5">
        <w:rPr>
          <w:rFonts w:cs="SFRM1000"/>
          <w:kern w:val="0"/>
          <w:sz w:val="24"/>
          <w:szCs w:val="24"/>
        </w:rPr>
        <w:t xml:space="preserve"> of death </w:t>
      </w:r>
      <w:r w:rsidR="00E444E5">
        <w:rPr>
          <w:rFonts w:cs="SFRM1000"/>
          <w:kern w:val="0"/>
          <w:sz w:val="24"/>
          <w:szCs w:val="24"/>
        </w:rPr>
        <w:t>=0.033)</w:t>
      </w:r>
      <w:r>
        <w:rPr>
          <w:rFonts w:cs="SFRM1000"/>
          <w:kern w:val="0"/>
          <w:sz w:val="24"/>
          <w:szCs w:val="24"/>
        </w:rPr>
        <w:t xml:space="preserve">, compared to the male 32.96% among the first class. And </w:t>
      </w:r>
      <w:r>
        <w:rPr>
          <w:rFonts w:ascii="ThorndaleAMT,Regular" w:hAnsi="ThorndaleAMT,Regular" w:cs="ThorndaleAMT,Regular"/>
          <w:kern w:val="0"/>
          <w:sz w:val="20"/>
          <w:szCs w:val="20"/>
        </w:rPr>
        <w:t>87.85</w:t>
      </w:r>
      <w:r>
        <w:rPr>
          <w:rFonts w:ascii="ThorndaleAMT,Regular" w:hAnsi="ThorndaleAMT,Regular" w:cs="ThorndaleAMT,Regular"/>
          <w:kern w:val="0"/>
          <w:sz w:val="20"/>
          <w:szCs w:val="20"/>
        </w:rPr>
        <w:t>%</w:t>
      </w:r>
      <w:r>
        <w:rPr>
          <w:rFonts w:cs="SFRM1000"/>
          <w:kern w:val="0"/>
          <w:sz w:val="24"/>
          <w:szCs w:val="24"/>
        </w:rPr>
        <w:t xml:space="preserve"> female </w:t>
      </w:r>
      <w:proofErr w:type="gramStart"/>
      <w:r>
        <w:rPr>
          <w:rFonts w:cs="SFRM1000"/>
          <w:kern w:val="0"/>
          <w:sz w:val="24"/>
          <w:szCs w:val="24"/>
        </w:rPr>
        <w:t>survived</w:t>
      </w:r>
      <w:r w:rsidR="00E444E5">
        <w:rPr>
          <w:rFonts w:cs="SFRM1000"/>
          <w:kern w:val="0"/>
          <w:sz w:val="24"/>
          <w:szCs w:val="24"/>
        </w:rPr>
        <w:t>(</w:t>
      </w:r>
      <w:proofErr w:type="gramEnd"/>
      <w:r w:rsidR="00E444E5">
        <w:rPr>
          <w:rFonts w:cs="SFRM1000"/>
          <w:kern w:val="0"/>
          <w:sz w:val="24"/>
          <w:szCs w:val="24"/>
        </w:rPr>
        <w:t>odds ratio of death =0.0</w:t>
      </w:r>
      <w:r w:rsidR="00E444E5">
        <w:rPr>
          <w:rFonts w:cs="SFRM1000"/>
          <w:kern w:val="0"/>
          <w:sz w:val="24"/>
          <w:szCs w:val="24"/>
        </w:rPr>
        <w:t>23</w:t>
      </w:r>
      <w:r w:rsidR="00E444E5">
        <w:rPr>
          <w:rFonts w:cs="SFRM1000"/>
          <w:kern w:val="0"/>
          <w:sz w:val="24"/>
          <w:szCs w:val="24"/>
        </w:rPr>
        <w:t>),</w:t>
      </w:r>
      <w:r>
        <w:rPr>
          <w:rFonts w:cs="SFRM1000"/>
          <w:kern w:val="0"/>
          <w:sz w:val="24"/>
          <w:szCs w:val="24"/>
        </w:rPr>
        <w:t xml:space="preserve">, compared to the male </w:t>
      </w:r>
      <w:r>
        <w:rPr>
          <w:rFonts w:cs="SFRM1000"/>
          <w:kern w:val="0"/>
          <w:sz w:val="24"/>
          <w:szCs w:val="24"/>
        </w:rPr>
        <w:t>14</w:t>
      </w:r>
      <w:r>
        <w:rPr>
          <w:rFonts w:cs="SFRM1000"/>
          <w:kern w:val="0"/>
          <w:sz w:val="24"/>
          <w:szCs w:val="24"/>
        </w:rPr>
        <w:t>.</w:t>
      </w:r>
      <w:r>
        <w:rPr>
          <w:rFonts w:cs="SFRM1000"/>
          <w:kern w:val="0"/>
          <w:sz w:val="24"/>
          <w:szCs w:val="24"/>
        </w:rPr>
        <w:t xml:space="preserve">45% </w:t>
      </w:r>
      <w:r>
        <w:rPr>
          <w:rFonts w:cs="SFRM1000"/>
          <w:kern w:val="0"/>
          <w:sz w:val="24"/>
          <w:szCs w:val="24"/>
        </w:rPr>
        <w:t xml:space="preserve">among the </w:t>
      </w:r>
      <w:r>
        <w:rPr>
          <w:rFonts w:cs="SFRM1000"/>
          <w:kern w:val="0"/>
          <w:sz w:val="24"/>
          <w:szCs w:val="24"/>
        </w:rPr>
        <w:t>second</w:t>
      </w:r>
      <w:r>
        <w:rPr>
          <w:rFonts w:cs="SFRM1000"/>
          <w:kern w:val="0"/>
          <w:sz w:val="24"/>
          <w:szCs w:val="24"/>
        </w:rPr>
        <w:t xml:space="preserve"> class</w:t>
      </w:r>
      <w:r>
        <w:rPr>
          <w:rFonts w:cs="SFRM1000"/>
          <w:kern w:val="0"/>
          <w:sz w:val="24"/>
          <w:szCs w:val="24"/>
        </w:rPr>
        <w:t xml:space="preserve">. And </w:t>
      </w:r>
      <w:r>
        <w:rPr>
          <w:rFonts w:ascii="ThorndaleAMT,Regular" w:hAnsi="ThorndaleAMT,Regular" w:cs="ThorndaleAMT,Regular"/>
          <w:kern w:val="0"/>
          <w:sz w:val="20"/>
          <w:szCs w:val="20"/>
        </w:rPr>
        <w:t>37.74</w:t>
      </w:r>
      <w:r>
        <w:rPr>
          <w:rFonts w:ascii="ThorndaleAMT,Regular" w:hAnsi="ThorndaleAMT,Regular" w:cs="ThorndaleAMT,Regular"/>
          <w:kern w:val="0"/>
          <w:sz w:val="20"/>
          <w:szCs w:val="20"/>
        </w:rPr>
        <w:t>%</w:t>
      </w:r>
      <w:r>
        <w:rPr>
          <w:rFonts w:cs="SFRM1000"/>
          <w:kern w:val="0"/>
          <w:sz w:val="24"/>
          <w:szCs w:val="24"/>
        </w:rPr>
        <w:t xml:space="preserve"> female </w:t>
      </w:r>
      <w:proofErr w:type="gramStart"/>
      <w:r>
        <w:rPr>
          <w:rFonts w:cs="SFRM1000"/>
          <w:kern w:val="0"/>
          <w:sz w:val="24"/>
          <w:szCs w:val="24"/>
        </w:rPr>
        <w:t>survived</w:t>
      </w:r>
      <w:r w:rsidR="00E444E5">
        <w:rPr>
          <w:rFonts w:cs="SFRM1000"/>
          <w:kern w:val="0"/>
          <w:sz w:val="24"/>
          <w:szCs w:val="24"/>
        </w:rPr>
        <w:t>(</w:t>
      </w:r>
      <w:proofErr w:type="gramEnd"/>
      <w:r w:rsidR="00E444E5">
        <w:rPr>
          <w:rFonts w:cs="SFRM1000"/>
          <w:kern w:val="0"/>
          <w:sz w:val="24"/>
          <w:szCs w:val="24"/>
        </w:rPr>
        <w:t>odds ratio of death =0.</w:t>
      </w:r>
      <w:r w:rsidR="00E444E5">
        <w:rPr>
          <w:rFonts w:cs="SFRM1000"/>
          <w:kern w:val="0"/>
          <w:sz w:val="24"/>
          <w:szCs w:val="24"/>
        </w:rPr>
        <w:t>217</w:t>
      </w:r>
      <w:r w:rsidR="00E444E5">
        <w:rPr>
          <w:rFonts w:cs="SFRM1000"/>
          <w:kern w:val="0"/>
          <w:sz w:val="24"/>
          <w:szCs w:val="24"/>
        </w:rPr>
        <w:t>)</w:t>
      </w:r>
      <w:r>
        <w:rPr>
          <w:rFonts w:cs="SFRM1000"/>
          <w:kern w:val="0"/>
          <w:sz w:val="24"/>
          <w:szCs w:val="24"/>
        </w:rPr>
        <w:t xml:space="preserve">, compared to the male </w:t>
      </w:r>
      <w:r>
        <w:rPr>
          <w:rFonts w:cs="SFRM1000"/>
          <w:kern w:val="0"/>
          <w:sz w:val="24"/>
          <w:szCs w:val="24"/>
        </w:rPr>
        <w:t>11.62%</w:t>
      </w:r>
      <w:r>
        <w:rPr>
          <w:rFonts w:cs="SFRM1000"/>
          <w:kern w:val="0"/>
          <w:sz w:val="24"/>
          <w:szCs w:val="24"/>
        </w:rPr>
        <w:t xml:space="preserve"> among the </w:t>
      </w:r>
      <w:r>
        <w:rPr>
          <w:rFonts w:cs="SFRM1000"/>
          <w:kern w:val="0"/>
          <w:sz w:val="24"/>
          <w:szCs w:val="24"/>
        </w:rPr>
        <w:t>third</w:t>
      </w:r>
      <w:r>
        <w:rPr>
          <w:rFonts w:cs="SFRM1000"/>
          <w:kern w:val="0"/>
          <w:sz w:val="24"/>
          <w:szCs w:val="24"/>
        </w:rPr>
        <w:t xml:space="preserve"> class</w:t>
      </w:r>
      <w:r w:rsidR="00E444E5">
        <w:rPr>
          <w:rFonts w:cs="SFRM1000"/>
          <w:kern w:val="0"/>
          <w:sz w:val="24"/>
          <w:szCs w:val="24"/>
        </w:rPr>
        <w:t xml:space="preserve">. Therefore, the odds ratio of </w:t>
      </w:r>
      <w:proofErr w:type="gramStart"/>
      <w:r w:rsidR="00E444E5">
        <w:rPr>
          <w:rFonts w:cs="SFRM1000"/>
          <w:kern w:val="0"/>
          <w:sz w:val="24"/>
          <w:szCs w:val="24"/>
        </w:rPr>
        <w:t>death(</w:t>
      </w:r>
      <w:proofErr w:type="spellStart"/>
      <w:proofErr w:type="gramEnd"/>
      <w:r w:rsidR="00E444E5">
        <w:rPr>
          <w:rFonts w:cs="SFRM1000"/>
          <w:kern w:val="0"/>
          <w:sz w:val="24"/>
          <w:szCs w:val="24"/>
        </w:rPr>
        <w:t>female:male</w:t>
      </w:r>
      <w:proofErr w:type="spellEnd"/>
      <w:r w:rsidR="00E444E5">
        <w:rPr>
          <w:rFonts w:cs="SFRM1000"/>
          <w:kern w:val="0"/>
          <w:sz w:val="24"/>
          <w:szCs w:val="24"/>
        </w:rPr>
        <w:t>) is less than 1. So female have higher survival rate. And the higher the passenger class, the higher the survival rate.</w:t>
      </w:r>
      <w:r>
        <w:rPr>
          <w:rFonts w:cs="SFRM1000"/>
          <w:kern w:val="0"/>
          <w:sz w:val="24"/>
          <w:szCs w:val="24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5"/>
      </w:tblGrid>
      <w:tr w:rsidR="002E0C57" w:rsidTr="002E0C57">
        <w:trPr>
          <w:trHeight w:val="3221"/>
        </w:trPr>
        <w:tc>
          <w:tcPr>
            <w:tcW w:w="8045" w:type="dxa"/>
          </w:tcPr>
          <w:p w:rsidR="002E0C57" w:rsidRDefault="00E444E5" w:rsidP="00287D73">
            <w:pPr>
              <w:spacing w:after="240" w:line="360" w:lineRule="auto"/>
              <w:jc w:val="left"/>
              <w:rPr>
                <w:rFonts w:ascii="SFRM1000" w:hAnsi="SFRM1000" w:cs="SFRM1000"/>
                <w:kern w:val="0"/>
                <w:sz w:val="20"/>
                <w:szCs w:val="20"/>
              </w:rPr>
            </w:pPr>
            <w:bookmarkStart w:id="0" w:name="_GoBack"/>
            <w:r>
              <w:rPr>
                <w:rFonts w:ascii="Arial" w:hAnsi="Arial" w:cs="Arial"/>
                <w:noProof/>
                <w:color w:val="000000"/>
                <w:sz w:val="20"/>
                <w:szCs w:val="20"/>
              </w:rPr>
              <w:drawing>
                <wp:inline distT="0" distB="0" distL="0" distR="0" wp14:anchorId="0878AD1B" wp14:editId="61BA29ED">
                  <wp:extent cx="4597399" cy="3448050"/>
                  <wp:effectExtent l="0" t="0" r="0" b="0"/>
                  <wp:docPr id="3" name="Picture 3" descr="The SGPlot Proced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The SGPlot Proced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01993" cy="3451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  <w:tr w:rsidR="002E0C57" w:rsidTr="002E0C57">
        <w:trPr>
          <w:trHeight w:val="315"/>
        </w:trPr>
        <w:tc>
          <w:tcPr>
            <w:tcW w:w="8045" w:type="dxa"/>
          </w:tcPr>
          <w:p w:rsidR="002E0C57" w:rsidRPr="00AD5B89" w:rsidRDefault="002E0C57" w:rsidP="00E444E5">
            <w:pPr>
              <w:widowControl/>
              <w:autoSpaceDE w:val="0"/>
              <w:autoSpaceDN w:val="0"/>
              <w:adjustRightInd w:val="0"/>
              <w:jc w:val="left"/>
              <w:rPr>
                <w:rFonts w:ascii="SFRM1000" w:hAnsi="SFRM1000" w:cs="SFRM1000"/>
                <w:kern w:val="0"/>
                <w:sz w:val="20"/>
                <w:szCs w:val="20"/>
              </w:rPr>
            </w:pPr>
            <w:r w:rsidRPr="00AD5B89">
              <w:rPr>
                <w:rFonts w:ascii="TimesNewRomanPSMT" w:hAnsi="TimesNewRomanPSMT" w:cs="TimesNewRomanPSMT"/>
                <w:kern w:val="0"/>
                <w:sz w:val="20"/>
                <w:szCs w:val="20"/>
              </w:rPr>
              <w:t xml:space="preserve">Figure 1. </w:t>
            </w:r>
            <w:proofErr w:type="gramStart"/>
            <w:r w:rsidR="00E444E5">
              <w:rPr>
                <w:rFonts w:ascii="TimesNewRomanPSMT" w:hAnsi="TimesNewRomanPSMT" w:cs="TimesNewRomanPSMT"/>
                <w:kern w:val="0"/>
                <w:sz w:val="20"/>
                <w:szCs w:val="20"/>
              </w:rPr>
              <w:t>odds</w:t>
            </w:r>
            <w:proofErr w:type="gramEnd"/>
            <w:r w:rsidR="00E444E5">
              <w:rPr>
                <w:rFonts w:ascii="TimesNewRomanPSMT" w:hAnsi="TimesNewRomanPSMT" w:cs="TimesNewRomanPSMT"/>
                <w:kern w:val="0"/>
                <w:sz w:val="20"/>
                <w:szCs w:val="20"/>
              </w:rPr>
              <w:t xml:space="preserve"> ratio of death shows 3</w:t>
            </w:r>
            <w:r w:rsidR="00E444E5" w:rsidRPr="00E444E5">
              <w:rPr>
                <w:rFonts w:ascii="TimesNewRomanPSMT" w:hAnsi="TimesNewRomanPSMT" w:cs="TimesNewRomanPSMT"/>
                <w:kern w:val="0"/>
                <w:sz w:val="20"/>
                <w:szCs w:val="20"/>
                <w:vertAlign w:val="superscript"/>
              </w:rPr>
              <w:t>rd</w:t>
            </w:r>
            <w:r w:rsidR="00E444E5">
              <w:rPr>
                <w:rFonts w:ascii="TimesNewRomanPSMT" w:hAnsi="TimesNewRomanPSMT" w:cs="TimesNewRomanPSMT"/>
                <w:kern w:val="0"/>
                <w:sz w:val="20"/>
                <w:szCs w:val="20"/>
              </w:rPr>
              <w:t xml:space="preserve"> class has significant death rate and female has lower death rate.</w:t>
            </w:r>
          </w:p>
        </w:tc>
      </w:tr>
    </w:tbl>
    <w:p w:rsidR="00FD3491" w:rsidRDefault="00FD3491" w:rsidP="00287D73">
      <w:pPr>
        <w:spacing w:after="240" w:line="360" w:lineRule="auto"/>
        <w:jc w:val="left"/>
      </w:pPr>
    </w:p>
    <w:sectPr w:rsidR="00FD3491" w:rsidSect="00EB17B0">
      <w:headerReference w:type="default" r:id="rId8"/>
      <w:pgSz w:w="11906" w:h="16838"/>
      <w:pgMar w:top="1418" w:right="1418" w:bottom="1418" w:left="1418" w:header="994" w:footer="99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5275" w:rsidRDefault="00755275" w:rsidP="00EB17B0">
      <w:r>
        <w:separator/>
      </w:r>
    </w:p>
  </w:endnote>
  <w:endnote w:type="continuationSeparator" w:id="0">
    <w:p w:rsidR="00755275" w:rsidRDefault="00755275" w:rsidP="00EB1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NewRomanPS-Bold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FRM10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horndaleAMT,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5275" w:rsidRDefault="00755275" w:rsidP="00EB17B0">
      <w:r>
        <w:separator/>
      </w:r>
    </w:p>
  </w:footnote>
  <w:footnote w:type="continuationSeparator" w:id="0">
    <w:p w:rsidR="00755275" w:rsidRDefault="00755275" w:rsidP="00EB17B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B17B0" w:rsidRPr="00EB17B0" w:rsidRDefault="00EB17B0" w:rsidP="00EB17B0">
    <w:pPr>
      <w:widowControl/>
      <w:autoSpaceDE w:val="0"/>
      <w:autoSpaceDN w:val="0"/>
      <w:adjustRightInd w:val="0"/>
      <w:jc w:val="left"/>
      <w:rPr>
        <w:rFonts w:ascii="TimesNewRomanPSMT" w:hAnsi="TimesNewRomanPSMT" w:cs="TimesNewRomanPSMT"/>
        <w:kern w:val="0"/>
        <w:sz w:val="24"/>
        <w:szCs w:val="24"/>
      </w:rPr>
    </w:pPr>
    <w:r w:rsidRPr="00EB17B0">
      <w:rPr>
        <w:rFonts w:ascii="TimesNewRomanPSMT" w:hAnsi="TimesNewRomanPSMT" w:cs="TimesNewRomanPSMT"/>
        <w:kern w:val="0"/>
        <w:sz w:val="24"/>
        <w:szCs w:val="24"/>
      </w:rPr>
      <w:t>Yang, Kun</w:t>
    </w:r>
    <w:r w:rsidR="00977024">
      <w:rPr>
        <w:rFonts w:ascii="TimesNewRomanPSMT" w:hAnsi="TimesNewRomanPSMT" w:cs="TimesNewRomanPSMT"/>
        <w:kern w:val="0"/>
        <w:sz w:val="24"/>
        <w:szCs w:val="24"/>
      </w:rPr>
      <w:t xml:space="preserve"> 301178299   Assignment 1 Part 2</w:t>
    </w:r>
  </w:p>
  <w:p w:rsidR="00EB17B0" w:rsidRDefault="00EB17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051F"/>
    <w:rsid w:val="00015B63"/>
    <w:rsid w:val="00030FAA"/>
    <w:rsid w:val="000355AE"/>
    <w:rsid w:val="00047CBF"/>
    <w:rsid w:val="00066E44"/>
    <w:rsid w:val="000B45D7"/>
    <w:rsid w:val="000C1F76"/>
    <w:rsid w:val="000C2638"/>
    <w:rsid w:val="000C278C"/>
    <w:rsid w:val="000D2234"/>
    <w:rsid w:val="000D30CB"/>
    <w:rsid w:val="00105833"/>
    <w:rsid w:val="001172CD"/>
    <w:rsid w:val="00117D7C"/>
    <w:rsid w:val="00122888"/>
    <w:rsid w:val="00132B9E"/>
    <w:rsid w:val="00134712"/>
    <w:rsid w:val="0013612D"/>
    <w:rsid w:val="00140DBB"/>
    <w:rsid w:val="0016525A"/>
    <w:rsid w:val="001828C8"/>
    <w:rsid w:val="001B0438"/>
    <w:rsid w:val="001B20EA"/>
    <w:rsid w:val="001B7E6F"/>
    <w:rsid w:val="001D1A65"/>
    <w:rsid w:val="002125B6"/>
    <w:rsid w:val="002323B6"/>
    <w:rsid w:val="00243B61"/>
    <w:rsid w:val="00245350"/>
    <w:rsid w:val="00254F05"/>
    <w:rsid w:val="00262813"/>
    <w:rsid w:val="0026416C"/>
    <w:rsid w:val="0027214A"/>
    <w:rsid w:val="0027266C"/>
    <w:rsid w:val="00285A1B"/>
    <w:rsid w:val="00287D73"/>
    <w:rsid w:val="00290E22"/>
    <w:rsid w:val="002A472B"/>
    <w:rsid w:val="002A6BCA"/>
    <w:rsid w:val="002B2125"/>
    <w:rsid w:val="002D1C74"/>
    <w:rsid w:val="002D470A"/>
    <w:rsid w:val="002E0C57"/>
    <w:rsid w:val="00332BF4"/>
    <w:rsid w:val="00333695"/>
    <w:rsid w:val="00344E37"/>
    <w:rsid w:val="003530D2"/>
    <w:rsid w:val="003533E1"/>
    <w:rsid w:val="00356735"/>
    <w:rsid w:val="003704FF"/>
    <w:rsid w:val="0037401D"/>
    <w:rsid w:val="003A7761"/>
    <w:rsid w:val="003B62D7"/>
    <w:rsid w:val="003D40F3"/>
    <w:rsid w:val="003F3C66"/>
    <w:rsid w:val="004140ED"/>
    <w:rsid w:val="00427AE3"/>
    <w:rsid w:val="0043042F"/>
    <w:rsid w:val="00445797"/>
    <w:rsid w:val="004637B0"/>
    <w:rsid w:val="00464F8D"/>
    <w:rsid w:val="00473341"/>
    <w:rsid w:val="00492A0D"/>
    <w:rsid w:val="004B6E39"/>
    <w:rsid w:val="004C0EAD"/>
    <w:rsid w:val="004C32C2"/>
    <w:rsid w:val="004C57D8"/>
    <w:rsid w:val="004D0481"/>
    <w:rsid w:val="004D5A40"/>
    <w:rsid w:val="004D6B11"/>
    <w:rsid w:val="004D720D"/>
    <w:rsid w:val="004D77B6"/>
    <w:rsid w:val="004E3AB8"/>
    <w:rsid w:val="004F5AF7"/>
    <w:rsid w:val="005410E6"/>
    <w:rsid w:val="005454FF"/>
    <w:rsid w:val="00555DF0"/>
    <w:rsid w:val="0056135D"/>
    <w:rsid w:val="005616C9"/>
    <w:rsid w:val="00574CD0"/>
    <w:rsid w:val="00577DEB"/>
    <w:rsid w:val="00593ABD"/>
    <w:rsid w:val="005D062D"/>
    <w:rsid w:val="005E3F6A"/>
    <w:rsid w:val="005F74BA"/>
    <w:rsid w:val="00603E20"/>
    <w:rsid w:val="00612013"/>
    <w:rsid w:val="006126E8"/>
    <w:rsid w:val="00612937"/>
    <w:rsid w:val="00620F18"/>
    <w:rsid w:val="006361AD"/>
    <w:rsid w:val="00662F59"/>
    <w:rsid w:val="006839F6"/>
    <w:rsid w:val="006C09AC"/>
    <w:rsid w:val="006C5494"/>
    <w:rsid w:val="006E5FAB"/>
    <w:rsid w:val="006F1BB6"/>
    <w:rsid w:val="007055FF"/>
    <w:rsid w:val="00707FD7"/>
    <w:rsid w:val="00730240"/>
    <w:rsid w:val="007360CB"/>
    <w:rsid w:val="007458C6"/>
    <w:rsid w:val="00752994"/>
    <w:rsid w:val="00752AFB"/>
    <w:rsid w:val="00755156"/>
    <w:rsid w:val="00755275"/>
    <w:rsid w:val="007633F7"/>
    <w:rsid w:val="00767756"/>
    <w:rsid w:val="0078594A"/>
    <w:rsid w:val="0078769E"/>
    <w:rsid w:val="00791DC9"/>
    <w:rsid w:val="007A6529"/>
    <w:rsid w:val="007D67E0"/>
    <w:rsid w:val="007D7242"/>
    <w:rsid w:val="007E7AB8"/>
    <w:rsid w:val="007F515E"/>
    <w:rsid w:val="0080107D"/>
    <w:rsid w:val="0080220F"/>
    <w:rsid w:val="008022C4"/>
    <w:rsid w:val="0080297D"/>
    <w:rsid w:val="008029A8"/>
    <w:rsid w:val="008153B2"/>
    <w:rsid w:val="00817503"/>
    <w:rsid w:val="00834114"/>
    <w:rsid w:val="00834F9B"/>
    <w:rsid w:val="0085710D"/>
    <w:rsid w:val="0086051F"/>
    <w:rsid w:val="0086758C"/>
    <w:rsid w:val="00881B8A"/>
    <w:rsid w:val="008926A6"/>
    <w:rsid w:val="008949E8"/>
    <w:rsid w:val="00897E4E"/>
    <w:rsid w:val="008B5E4E"/>
    <w:rsid w:val="008D75DC"/>
    <w:rsid w:val="008E148D"/>
    <w:rsid w:val="008E4C5E"/>
    <w:rsid w:val="008E6E25"/>
    <w:rsid w:val="008F197A"/>
    <w:rsid w:val="008F2CBA"/>
    <w:rsid w:val="00905296"/>
    <w:rsid w:val="00915944"/>
    <w:rsid w:val="00917463"/>
    <w:rsid w:val="00921B1F"/>
    <w:rsid w:val="009364E1"/>
    <w:rsid w:val="0094068C"/>
    <w:rsid w:val="00954CDF"/>
    <w:rsid w:val="009550AD"/>
    <w:rsid w:val="00977024"/>
    <w:rsid w:val="00977C0F"/>
    <w:rsid w:val="00984AEB"/>
    <w:rsid w:val="009A1477"/>
    <w:rsid w:val="009A175E"/>
    <w:rsid w:val="009B06BB"/>
    <w:rsid w:val="009C0C3B"/>
    <w:rsid w:val="009D0E0E"/>
    <w:rsid w:val="009D2C11"/>
    <w:rsid w:val="009D7E48"/>
    <w:rsid w:val="00A07F9C"/>
    <w:rsid w:val="00A14BDF"/>
    <w:rsid w:val="00A1644C"/>
    <w:rsid w:val="00A27F17"/>
    <w:rsid w:val="00A30314"/>
    <w:rsid w:val="00A306BF"/>
    <w:rsid w:val="00A32B96"/>
    <w:rsid w:val="00A54E4B"/>
    <w:rsid w:val="00A562D2"/>
    <w:rsid w:val="00A57448"/>
    <w:rsid w:val="00A575DA"/>
    <w:rsid w:val="00A6099D"/>
    <w:rsid w:val="00A64D3E"/>
    <w:rsid w:val="00A9282D"/>
    <w:rsid w:val="00A96CC5"/>
    <w:rsid w:val="00AA3F5B"/>
    <w:rsid w:val="00AA445C"/>
    <w:rsid w:val="00AB2694"/>
    <w:rsid w:val="00AB498B"/>
    <w:rsid w:val="00AC2797"/>
    <w:rsid w:val="00AC40F7"/>
    <w:rsid w:val="00AD186D"/>
    <w:rsid w:val="00AD5B89"/>
    <w:rsid w:val="00AD6461"/>
    <w:rsid w:val="00AE605B"/>
    <w:rsid w:val="00AF1085"/>
    <w:rsid w:val="00AF229D"/>
    <w:rsid w:val="00AF7FF7"/>
    <w:rsid w:val="00B022C6"/>
    <w:rsid w:val="00B108BF"/>
    <w:rsid w:val="00B13CDD"/>
    <w:rsid w:val="00B14D0D"/>
    <w:rsid w:val="00B25F56"/>
    <w:rsid w:val="00B30313"/>
    <w:rsid w:val="00B30ACF"/>
    <w:rsid w:val="00B30C0B"/>
    <w:rsid w:val="00B316D5"/>
    <w:rsid w:val="00B43B40"/>
    <w:rsid w:val="00B44D03"/>
    <w:rsid w:val="00B55E3C"/>
    <w:rsid w:val="00B74E43"/>
    <w:rsid w:val="00BA5666"/>
    <w:rsid w:val="00BA6E64"/>
    <w:rsid w:val="00BA738C"/>
    <w:rsid w:val="00BB0BB2"/>
    <w:rsid w:val="00BE73C0"/>
    <w:rsid w:val="00BF11BE"/>
    <w:rsid w:val="00C032F5"/>
    <w:rsid w:val="00C0543E"/>
    <w:rsid w:val="00C12657"/>
    <w:rsid w:val="00C13889"/>
    <w:rsid w:val="00C1399B"/>
    <w:rsid w:val="00C16A6A"/>
    <w:rsid w:val="00C202E0"/>
    <w:rsid w:val="00C20925"/>
    <w:rsid w:val="00C22E00"/>
    <w:rsid w:val="00C2338C"/>
    <w:rsid w:val="00C40552"/>
    <w:rsid w:val="00C51812"/>
    <w:rsid w:val="00C525A4"/>
    <w:rsid w:val="00C64C7C"/>
    <w:rsid w:val="00C66D4A"/>
    <w:rsid w:val="00C67B1F"/>
    <w:rsid w:val="00C67C6B"/>
    <w:rsid w:val="00C82F24"/>
    <w:rsid w:val="00C83D77"/>
    <w:rsid w:val="00C84784"/>
    <w:rsid w:val="00C90396"/>
    <w:rsid w:val="00C92D2E"/>
    <w:rsid w:val="00CB32E4"/>
    <w:rsid w:val="00CB5752"/>
    <w:rsid w:val="00CB63E6"/>
    <w:rsid w:val="00CD1CE2"/>
    <w:rsid w:val="00CD7597"/>
    <w:rsid w:val="00CE24E4"/>
    <w:rsid w:val="00CE2BF2"/>
    <w:rsid w:val="00D2673E"/>
    <w:rsid w:val="00D27204"/>
    <w:rsid w:val="00D30FC8"/>
    <w:rsid w:val="00D40E14"/>
    <w:rsid w:val="00D44B78"/>
    <w:rsid w:val="00D50312"/>
    <w:rsid w:val="00D50E85"/>
    <w:rsid w:val="00D61DFC"/>
    <w:rsid w:val="00D86A07"/>
    <w:rsid w:val="00D87CD9"/>
    <w:rsid w:val="00D9345D"/>
    <w:rsid w:val="00D959CA"/>
    <w:rsid w:val="00D96A63"/>
    <w:rsid w:val="00DA4611"/>
    <w:rsid w:val="00DA4F21"/>
    <w:rsid w:val="00DB3190"/>
    <w:rsid w:val="00DB3570"/>
    <w:rsid w:val="00DE42A7"/>
    <w:rsid w:val="00DF34E8"/>
    <w:rsid w:val="00E01BC0"/>
    <w:rsid w:val="00E22088"/>
    <w:rsid w:val="00E238D1"/>
    <w:rsid w:val="00E444E5"/>
    <w:rsid w:val="00E45F73"/>
    <w:rsid w:val="00E54262"/>
    <w:rsid w:val="00E66B24"/>
    <w:rsid w:val="00E77A76"/>
    <w:rsid w:val="00E8656E"/>
    <w:rsid w:val="00E86A6D"/>
    <w:rsid w:val="00E87DA6"/>
    <w:rsid w:val="00E9030E"/>
    <w:rsid w:val="00EA5907"/>
    <w:rsid w:val="00EA6265"/>
    <w:rsid w:val="00EA70E7"/>
    <w:rsid w:val="00EB17B0"/>
    <w:rsid w:val="00EB5B4B"/>
    <w:rsid w:val="00EC4A8A"/>
    <w:rsid w:val="00EC59EA"/>
    <w:rsid w:val="00EC68CB"/>
    <w:rsid w:val="00EE45FC"/>
    <w:rsid w:val="00EF0143"/>
    <w:rsid w:val="00EF0CB6"/>
    <w:rsid w:val="00F10830"/>
    <w:rsid w:val="00F12A89"/>
    <w:rsid w:val="00F1567B"/>
    <w:rsid w:val="00F16414"/>
    <w:rsid w:val="00F17B61"/>
    <w:rsid w:val="00F309FF"/>
    <w:rsid w:val="00F438C4"/>
    <w:rsid w:val="00F54BC4"/>
    <w:rsid w:val="00F64C41"/>
    <w:rsid w:val="00F65E9D"/>
    <w:rsid w:val="00F9689C"/>
    <w:rsid w:val="00FA059F"/>
    <w:rsid w:val="00FA42C9"/>
    <w:rsid w:val="00FC0ADB"/>
    <w:rsid w:val="00FD04C6"/>
    <w:rsid w:val="00FD1BCC"/>
    <w:rsid w:val="00FD3491"/>
    <w:rsid w:val="00FE59BA"/>
    <w:rsid w:val="00FF3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D4B36D-73D0-41DD-BB1B-737B57C70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17B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17B0"/>
    <w:rPr>
      <w:lang w:val="en-CA"/>
    </w:rPr>
  </w:style>
  <w:style w:type="paragraph" w:styleId="Footer">
    <w:name w:val="footer"/>
    <w:basedOn w:val="Normal"/>
    <w:link w:val="FooterChar"/>
    <w:uiPriority w:val="99"/>
    <w:unhideWhenUsed/>
    <w:rsid w:val="00EB17B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17B0"/>
    <w:rPr>
      <w:lang w:val="en-CA"/>
    </w:rPr>
  </w:style>
  <w:style w:type="table" w:styleId="TableGrid">
    <w:name w:val="Table Grid"/>
    <w:basedOn w:val="TableNormal"/>
    <w:uiPriority w:val="59"/>
    <w:rsid w:val="00FD34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692BFF-F1D8-42ED-A29E-62036DCA90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 Yang</dc:creator>
  <cp:keywords/>
  <dc:description/>
  <cp:lastModifiedBy>Kun Yang</cp:lastModifiedBy>
  <cp:revision>4</cp:revision>
  <dcterms:created xsi:type="dcterms:W3CDTF">2015-01-09T22:48:00Z</dcterms:created>
  <dcterms:modified xsi:type="dcterms:W3CDTF">2015-01-09T23:57:00Z</dcterms:modified>
</cp:coreProperties>
</file>