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82" w:rsidRPr="000C469F" w:rsidRDefault="00495D82">
      <w:pPr>
        <w:rPr>
          <w:lang w:val="en-US"/>
        </w:rPr>
      </w:pPr>
      <w:bookmarkStart w:id="0" w:name="IDX"/>
      <w:bookmarkEnd w:id="0"/>
    </w:p>
    <w:p w:rsidR="00495D82" w:rsidRDefault="00495D82" w:rsidP="00495D82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Cereal Dataset</w:t>
      </w:r>
    </w:p>
    <w:p w:rsidR="00495D82" w:rsidRDefault="00495D82" w:rsidP="00495D82"/>
    <w:p w:rsidR="005B5527" w:rsidRDefault="00FF6D8D" w:rsidP="00FF6D8D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  </w:t>
      </w:r>
      <w:r w:rsidR="00495D82" w:rsidRPr="00DA4F21">
        <w:rPr>
          <w:rFonts w:cs="TimesNewRomanPSMT"/>
          <w:kern w:val="0"/>
          <w:sz w:val="24"/>
          <w:szCs w:val="24"/>
        </w:rPr>
        <w:t xml:space="preserve">The </w:t>
      </w:r>
      <w:r w:rsidR="00495D82" w:rsidRPr="00E54AD4">
        <w:rPr>
          <w:rFonts w:cs="TimesNewRomanPSMT"/>
          <w:kern w:val="0"/>
          <w:sz w:val="24"/>
          <w:szCs w:val="24"/>
        </w:rPr>
        <w:t xml:space="preserve">nutritional </w:t>
      </w:r>
      <w:r w:rsidR="00495D82">
        <w:rPr>
          <w:rFonts w:cs="TimesNewRomanPSMT"/>
          <w:kern w:val="0"/>
          <w:sz w:val="24"/>
          <w:szCs w:val="24"/>
        </w:rPr>
        <w:t>content</w:t>
      </w:r>
      <w:r w:rsidR="00495D82" w:rsidRPr="00DA4F21">
        <w:rPr>
          <w:rFonts w:cs="TimesNewRomanPSMT"/>
          <w:kern w:val="0"/>
          <w:sz w:val="24"/>
          <w:szCs w:val="24"/>
        </w:rPr>
        <w:t xml:space="preserve"> </w:t>
      </w:r>
      <w:r w:rsidR="00495D82">
        <w:rPr>
          <w:rFonts w:cs="TimesNewRomanPSMT"/>
          <w:kern w:val="0"/>
          <w:sz w:val="24"/>
          <w:szCs w:val="24"/>
        </w:rPr>
        <w:t xml:space="preserve">of </w:t>
      </w:r>
      <w:r w:rsidR="00495D82" w:rsidRPr="00E54AD4">
        <w:rPr>
          <w:rFonts w:cs="TimesNewRomanPSMT"/>
          <w:kern w:val="0"/>
          <w:sz w:val="24"/>
          <w:szCs w:val="24"/>
        </w:rPr>
        <w:t xml:space="preserve">80 cereals </w:t>
      </w:r>
      <w:r w:rsidR="00495D82">
        <w:rPr>
          <w:rFonts w:cs="TimesNewRomanPSMT"/>
          <w:kern w:val="0"/>
          <w:sz w:val="24"/>
          <w:szCs w:val="24"/>
        </w:rPr>
        <w:t xml:space="preserve">samples of 77 different bands </w:t>
      </w:r>
      <w:r w:rsidR="005B5527">
        <w:rPr>
          <w:rFonts w:cs="TimesNewRomanPSMT"/>
          <w:kern w:val="0"/>
          <w:sz w:val="24"/>
          <w:szCs w:val="24"/>
        </w:rPr>
        <w:t xml:space="preserve">was obtained. </w:t>
      </w:r>
      <w:r>
        <w:rPr>
          <w:rFonts w:cs="TimesNewRomanPSMT"/>
          <w:kern w:val="0"/>
          <w:sz w:val="24"/>
          <w:szCs w:val="24"/>
        </w:rPr>
        <w:t>W</w:t>
      </w:r>
      <w:r w:rsidR="005B5527">
        <w:rPr>
          <w:rFonts w:cs="TimesNewRomanPSMT"/>
          <w:kern w:val="0"/>
          <w:sz w:val="24"/>
          <w:szCs w:val="24"/>
        </w:rPr>
        <w:t xml:space="preserve">e do a regression of calories against </w:t>
      </w:r>
      <w:r w:rsidR="00A774D2" w:rsidRPr="005B5527">
        <w:rPr>
          <w:rFonts w:cs="TimesNewRomanPSMT"/>
          <w:kern w:val="0"/>
          <w:sz w:val="24"/>
          <w:szCs w:val="24"/>
        </w:rPr>
        <w:t>protein</w:t>
      </w:r>
      <w:r w:rsidR="00A774D2">
        <w:rPr>
          <w:rFonts w:cs="TimesNewRomanPSMT"/>
          <w:kern w:val="0"/>
          <w:sz w:val="24"/>
          <w:szCs w:val="24"/>
        </w:rPr>
        <w:t xml:space="preserve">, </w:t>
      </w:r>
      <w:r w:rsidR="00A774D2" w:rsidRPr="005B5527">
        <w:rPr>
          <w:rFonts w:cs="TimesNewRomanPSMT"/>
          <w:kern w:val="0"/>
          <w:sz w:val="24"/>
          <w:szCs w:val="24"/>
        </w:rPr>
        <w:t>fat</w:t>
      </w:r>
      <w:r w:rsidR="00A774D2">
        <w:rPr>
          <w:rFonts w:cs="TimesNewRomanPSMT"/>
          <w:kern w:val="0"/>
          <w:sz w:val="24"/>
          <w:szCs w:val="24"/>
        </w:rPr>
        <w:t xml:space="preserve">, </w:t>
      </w:r>
      <w:r w:rsidR="00A774D2" w:rsidRPr="005B5527">
        <w:rPr>
          <w:rFonts w:cs="TimesNewRomanPSMT"/>
          <w:kern w:val="0"/>
          <w:sz w:val="24"/>
          <w:szCs w:val="24"/>
        </w:rPr>
        <w:t>complex carbohydrates</w:t>
      </w:r>
      <w:r w:rsidR="00A774D2">
        <w:rPr>
          <w:rFonts w:cs="TimesNewRomanPSMT"/>
          <w:kern w:val="0"/>
          <w:sz w:val="24"/>
          <w:szCs w:val="24"/>
        </w:rPr>
        <w:t xml:space="preserve"> and </w:t>
      </w:r>
      <w:r w:rsidR="00A774D2" w:rsidRPr="005B5527">
        <w:rPr>
          <w:rFonts w:cs="TimesNewRomanPSMT"/>
          <w:kern w:val="0"/>
          <w:sz w:val="24"/>
          <w:szCs w:val="24"/>
        </w:rPr>
        <w:t>sugars</w:t>
      </w:r>
      <w:r w:rsidR="005B5527">
        <w:rPr>
          <w:rFonts w:cs="TimesNewRomanPSMT"/>
          <w:kern w:val="0"/>
          <w:sz w:val="24"/>
          <w:szCs w:val="24"/>
        </w:rPr>
        <w:t xml:space="preserve">. </w:t>
      </w:r>
      <w:r w:rsidR="005B06B9">
        <w:rPr>
          <w:rFonts w:cs="TimesNewRomanPSMT"/>
          <w:kern w:val="0"/>
          <w:sz w:val="24"/>
          <w:szCs w:val="24"/>
        </w:rPr>
        <w:t>We used simulated dataset.</w:t>
      </w:r>
    </w:p>
    <w:p w:rsidR="00A774D2" w:rsidRDefault="00FF6D8D" w:rsidP="00FF6D8D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   </w:t>
      </w:r>
      <w:r w:rsidR="005B5527">
        <w:rPr>
          <w:rFonts w:cs="TimesNewRomanPSMT"/>
          <w:kern w:val="0"/>
          <w:sz w:val="24"/>
          <w:szCs w:val="24"/>
        </w:rPr>
        <w:t xml:space="preserve">We create the </w:t>
      </w:r>
      <w:r w:rsidR="005B5527" w:rsidRPr="005B5527">
        <w:rPr>
          <w:rFonts w:cs="TimesNewRomanPSMT"/>
          <w:kern w:val="0"/>
          <w:sz w:val="24"/>
          <w:szCs w:val="24"/>
        </w:rPr>
        <w:t>histogram for the estimated slope associated with grams of fat</w:t>
      </w:r>
      <w:r w:rsidR="005B5527">
        <w:rPr>
          <w:rFonts w:cs="TimesNewRomanPSMT"/>
          <w:kern w:val="0"/>
          <w:sz w:val="24"/>
          <w:szCs w:val="24"/>
        </w:rPr>
        <w:t>.</w:t>
      </w:r>
      <w:r w:rsidR="00A774D2">
        <w:rPr>
          <w:rFonts w:cs="TimesNewRomanPSMT"/>
          <w:kern w:val="0"/>
          <w:sz w:val="24"/>
          <w:szCs w:val="24"/>
        </w:rPr>
        <w:t xml:space="preserve"> The figure 1 is the histogram when we assume the normality is satisfied and Figure 2 is which when </w:t>
      </w:r>
      <w:r>
        <w:rPr>
          <w:rFonts w:cs="TimesNewRomanPSMT"/>
          <w:kern w:val="0"/>
          <w:sz w:val="24"/>
          <w:szCs w:val="24"/>
        </w:rPr>
        <w:t>it</w:t>
      </w:r>
      <w:r w:rsidR="00A774D2">
        <w:rPr>
          <w:rFonts w:cs="TimesNewRomanPSMT"/>
          <w:kern w:val="0"/>
          <w:sz w:val="24"/>
          <w:szCs w:val="24"/>
        </w:rPr>
        <w:t xml:space="preserve"> is </w:t>
      </w:r>
      <w:r>
        <w:rPr>
          <w:rFonts w:cs="TimesNewRomanPSMT"/>
          <w:kern w:val="0"/>
          <w:sz w:val="24"/>
          <w:szCs w:val="24"/>
        </w:rPr>
        <w:t>not</w:t>
      </w:r>
      <w:r w:rsidR="00A774D2">
        <w:rPr>
          <w:rFonts w:cs="TimesNewRomanPSMT"/>
          <w:kern w:val="0"/>
          <w:sz w:val="24"/>
          <w:szCs w:val="24"/>
        </w:rPr>
        <w:t>.</w:t>
      </w:r>
      <w:r w:rsidR="005B5527">
        <w:rPr>
          <w:rFonts w:cs="TimesNewRomanPSMT"/>
          <w:kern w:val="0"/>
          <w:sz w:val="24"/>
          <w:szCs w:val="24"/>
        </w:rPr>
        <w:t xml:space="preserve"> </w:t>
      </w:r>
      <w:r w:rsidR="00A774D2">
        <w:rPr>
          <w:rFonts w:cs="TimesNewRomanPSMT"/>
          <w:kern w:val="0"/>
          <w:sz w:val="24"/>
          <w:szCs w:val="24"/>
        </w:rPr>
        <w:t xml:space="preserve">The </w:t>
      </w:r>
      <w:r w:rsidR="00A774D2" w:rsidRPr="00A774D2">
        <w:rPr>
          <w:rFonts w:cs="TimesNewRomanPSMT"/>
          <w:kern w:val="0"/>
          <w:sz w:val="24"/>
          <w:szCs w:val="24"/>
        </w:rPr>
        <w:t>reference line locate at the centre, so the estimator seems not biased.</w:t>
      </w:r>
      <w:r>
        <w:rPr>
          <w:rFonts w:cs="TimesNewRomanPSMT"/>
          <w:kern w:val="0"/>
          <w:sz w:val="24"/>
          <w:szCs w:val="24"/>
        </w:rPr>
        <w:t xml:space="preserve"> Figure 1 has larger variance of the estimated slope of fat</w:t>
      </w:r>
      <w:bookmarkStart w:id="1" w:name="_GoBack"/>
      <w:bookmarkEnd w:id="1"/>
      <w:r>
        <w:rPr>
          <w:rFonts w:cs="TimesNewRomanPSMT"/>
          <w:kern w:val="0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937" w:tblpY="2912"/>
        <w:tblW w:w="6498" w:type="dxa"/>
        <w:tblLook w:val="04A0" w:firstRow="1" w:lastRow="0" w:firstColumn="1" w:lastColumn="0" w:noHBand="0" w:noVBand="1"/>
      </w:tblPr>
      <w:tblGrid>
        <w:gridCol w:w="967"/>
        <w:gridCol w:w="1583"/>
        <w:gridCol w:w="1608"/>
        <w:gridCol w:w="2340"/>
      </w:tblGrid>
      <w:tr w:rsidR="00FF6D8D" w:rsidTr="00FF6D8D">
        <w:trPr>
          <w:trHeight w:val="350"/>
        </w:trPr>
        <w:tc>
          <w:tcPr>
            <w:tcW w:w="967" w:type="dxa"/>
          </w:tcPr>
          <w:p w:rsidR="00FF6D8D" w:rsidRDefault="00FF6D8D" w:rsidP="00FF6D8D">
            <w:r w:rsidRPr="00A87C5F">
              <w:rPr>
                <w:b/>
                <w:bCs/>
                <w:iCs/>
                <w:color w:val="000000"/>
                <w:sz w:val="18"/>
                <w:szCs w:val="18"/>
              </w:rPr>
              <w:t>Normality</w:t>
            </w:r>
          </w:p>
        </w:tc>
        <w:tc>
          <w:tcPr>
            <w:tcW w:w="1583" w:type="dxa"/>
          </w:tcPr>
          <w:p w:rsidR="00FF6D8D" w:rsidRPr="005B06B9" w:rsidRDefault="00FF6D8D" w:rsidP="00FF6D8D">
            <w:pPr>
              <w:jc w:val="left"/>
              <w:rPr>
                <w:b/>
                <w:sz w:val="18"/>
                <w:szCs w:val="18"/>
              </w:rPr>
            </w:pPr>
            <w:r w:rsidRPr="005B06B9">
              <w:rPr>
                <w:b/>
                <w:sz w:val="18"/>
                <w:szCs w:val="18"/>
              </w:rPr>
              <w:t>Mean of the slope</w:t>
            </w:r>
          </w:p>
        </w:tc>
        <w:tc>
          <w:tcPr>
            <w:tcW w:w="1608" w:type="dxa"/>
          </w:tcPr>
          <w:p w:rsidR="00FF6D8D" w:rsidRPr="005B06B9" w:rsidRDefault="00FF6D8D" w:rsidP="00FF6D8D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</w:t>
            </w:r>
            <w:r w:rsidRPr="005B06B9">
              <w:rPr>
                <w:b/>
                <w:sz w:val="18"/>
                <w:szCs w:val="18"/>
              </w:rPr>
              <w:t xml:space="preserve"> of the estimate</w:t>
            </w:r>
          </w:p>
        </w:tc>
        <w:tc>
          <w:tcPr>
            <w:tcW w:w="2340" w:type="dxa"/>
          </w:tcPr>
          <w:p w:rsidR="00FF6D8D" w:rsidRPr="005B06B9" w:rsidRDefault="00FF6D8D" w:rsidP="00FF6D8D">
            <w:pPr>
              <w:jc w:val="left"/>
              <w:rPr>
                <w:b/>
                <w:sz w:val="18"/>
                <w:szCs w:val="18"/>
              </w:rPr>
            </w:pPr>
            <w:r w:rsidRPr="005B06B9">
              <w:rPr>
                <w:b/>
                <w:sz w:val="18"/>
                <w:szCs w:val="18"/>
              </w:rPr>
              <w:t>P-value (Tests for Mu0=9)</w:t>
            </w:r>
          </w:p>
        </w:tc>
      </w:tr>
      <w:tr w:rsidR="00FF6D8D" w:rsidTr="00FF6D8D">
        <w:tc>
          <w:tcPr>
            <w:tcW w:w="967" w:type="dxa"/>
          </w:tcPr>
          <w:p w:rsidR="00FF6D8D" w:rsidRPr="00A87C5F" w:rsidRDefault="00FF6D8D" w:rsidP="00FF6D8D">
            <w:pPr>
              <w:rPr>
                <w:b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>YES</w:t>
            </w:r>
            <w:r w:rsidRPr="00A87C5F">
              <w:rPr>
                <w:b/>
                <w:bCs/>
                <w:i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83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r w:rsidRPr="005B06B9">
              <w:rPr>
                <w:sz w:val="18"/>
                <w:szCs w:val="18"/>
              </w:rPr>
              <w:t>8.999</w:t>
            </w:r>
          </w:p>
        </w:tc>
        <w:tc>
          <w:tcPr>
            <w:tcW w:w="1608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r w:rsidRPr="005B06B9">
              <w:rPr>
                <w:sz w:val="18"/>
                <w:szCs w:val="18"/>
              </w:rPr>
              <w:t>0.674</w:t>
            </w:r>
          </w:p>
        </w:tc>
        <w:tc>
          <w:tcPr>
            <w:tcW w:w="2340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proofErr w:type="spellStart"/>
            <w:r w:rsidRPr="005B06B9">
              <w:rPr>
                <w:sz w:val="18"/>
                <w:szCs w:val="18"/>
              </w:rPr>
              <w:t>Pr</w:t>
            </w:r>
            <w:proofErr w:type="spellEnd"/>
            <w:r w:rsidRPr="005B06B9">
              <w:rPr>
                <w:sz w:val="18"/>
                <w:szCs w:val="18"/>
              </w:rPr>
              <w:t xml:space="preserve"> &gt; 0.977</w:t>
            </w:r>
          </w:p>
        </w:tc>
      </w:tr>
      <w:tr w:rsidR="00FF6D8D" w:rsidTr="00FF6D8D">
        <w:tc>
          <w:tcPr>
            <w:tcW w:w="967" w:type="dxa"/>
          </w:tcPr>
          <w:p w:rsidR="00FF6D8D" w:rsidRPr="00A87C5F" w:rsidRDefault="00FF6D8D" w:rsidP="00FF6D8D">
            <w:pPr>
              <w:rPr>
                <w:b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83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r w:rsidRPr="005B06B9">
              <w:rPr>
                <w:rFonts w:ascii="ThorndaleAMT,Regular" w:hAnsi="ThorndaleAMT,Regular" w:cs="ThorndaleAMT,Regular"/>
                <w:kern w:val="0"/>
                <w:sz w:val="18"/>
                <w:szCs w:val="18"/>
              </w:rPr>
              <w:t>9.003</w:t>
            </w:r>
          </w:p>
        </w:tc>
        <w:tc>
          <w:tcPr>
            <w:tcW w:w="1608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r w:rsidRPr="005B06B9">
              <w:rPr>
                <w:rFonts w:ascii="ThorndaleAMT,Regular" w:hAnsi="ThorndaleAMT,Regular" w:cs="ThorndaleAMT,Regular"/>
                <w:kern w:val="0"/>
                <w:sz w:val="18"/>
                <w:szCs w:val="18"/>
              </w:rPr>
              <w:t>0.135</w:t>
            </w:r>
          </w:p>
        </w:tc>
        <w:tc>
          <w:tcPr>
            <w:tcW w:w="2340" w:type="dxa"/>
          </w:tcPr>
          <w:p w:rsidR="00FF6D8D" w:rsidRPr="005B06B9" w:rsidRDefault="00FF6D8D" w:rsidP="00FF6D8D">
            <w:pPr>
              <w:rPr>
                <w:sz w:val="18"/>
                <w:szCs w:val="18"/>
              </w:rPr>
            </w:pPr>
            <w:proofErr w:type="spellStart"/>
            <w:r w:rsidRPr="005B06B9">
              <w:rPr>
                <w:sz w:val="18"/>
                <w:szCs w:val="18"/>
              </w:rPr>
              <w:t>Pr</w:t>
            </w:r>
            <w:proofErr w:type="spellEnd"/>
            <w:r w:rsidRPr="005B06B9">
              <w:rPr>
                <w:sz w:val="18"/>
                <w:szCs w:val="18"/>
              </w:rPr>
              <w:t xml:space="preserve"> &gt; 0.481</w:t>
            </w:r>
          </w:p>
        </w:tc>
      </w:tr>
    </w:tbl>
    <w:p w:rsidR="00A774D2" w:rsidRPr="005B06B9" w:rsidRDefault="005B06B9" w:rsidP="00FF6D8D">
      <w:pPr>
        <w:widowControl/>
        <w:autoSpaceDE w:val="0"/>
        <w:autoSpaceDN w:val="0"/>
        <w:adjustRightInd w:val="0"/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 </w:t>
      </w:r>
      <w:r w:rsidR="00FF6D8D">
        <w:rPr>
          <w:rFonts w:cs="TimesNewRomanPSMT"/>
          <w:kern w:val="0"/>
          <w:sz w:val="24"/>
          <w:szCs w:val="24"/>
        </w:rPr>
        <w:t xml:space="preserve"> </w:t>
      </w:r>
      <w:r>
        <w:rPr>
          <w:rFonts w:cs="TimesNewRomanPSMT"/>
          <w:kern w:val="0"/>
          <w:sz w:val="24"/>
          <w:szCs w:val="24"/>
        </w:rPr>
        <w:t>T</w:t>
      </w:r>
      <w:r w:rsidRPr="005B06B9">
        <w:rPr>
          <w:rFonts w:cs="TimesNewRomanPSMT"/>
          <w:kern w:val="0"/>
          <w:sz w:val="24"/>
          <w:szCs w:val="24"/>
        </w:rPr>
        <w:t xml:space="preserve">he results </w:t>
      </w:r>
      <w:r>
        <w:rPr>
          <w:rFonts w:cs="TimesNewRomanPSMT"/>
          <w:kern w:val="0"/>
          <w:sz w:val="24"/>
          <w:szCs w:val="24"/>
        </w:rPr>
        <w:t xml:space="preserve">of </w:t>
      </w:r>
      <w:r w:rsidRPr="005B06B9">
        <w:rPr>
          <w:rFonts w:cs="TimesNewRomanPSMT"/>
          <w:kern w:val="0"/>
          <w:sz w:val="24"/>
          <w:szCs w:val="24"/>
        </w:rPr>
        <w:t xml:space="preserve">hypothesis test </w:t>
      </w:r>
      <w:r w:rsidRPr="005B06B9">
        <w:rPr>
          <w:rFonts w:cs="TimesNewRomanPSMT"/>
          <w:kern w:val="0"/>
          <w:sz w:val="24"/>
          <w:szCs w:val="24"/>
        </w:rPr>
        <w:t>shown in the table below. The m</w:t>
      </w:r>
      <w:r w:rsidRPr="005B06B9">
        <w:rPr>
          <w:rFonts w:cs="TimesNewRomanPSMT"/>
          <w:kern w:val="0"/>
          <w:sz w:val="24"/>
          <w:szCs w:val="24"/>
        </w:rPr>
        <w:t>ean</w:t>
      </w:r>
      <w:r w:rsidRPr="005B06B9">
        <w:rPr>
          <w:rFonts w:cs="TimesNewRomanPSMT"/>
          <w:kern w:val="0"/>
          <w:sz w:val="24"/>
          <w:szCs w:val="24"/>
        </w:rPr>
        <w:t>s</w:t>
      </w:r>
      <w:r w:rsidRPr="005B06B9">
        <w:rPr>
          <w:rFonts w:cs="TimesNewRomanPSMT"/>
          <w:kern w:val="0"/>
          <w:sz w:val="24"/>
          <w:szCs w:val="24"/>
        </w:rPr>
        <w:t xml:space="preserve"> of the slope</w:t>
      </w:r>
      <w:r w:rsidRPr="005B06B9">
        <w:rPr>
          <w:rFonts w:cs="TimesNewRomanPSMT"/>
          <w:kern w:val="0"/>
          <w:sz w:val="24"/>
          <w:szCs w:val="24"/>
        </w:rPr>
        <w:t xml:space="preserve"> of fat in both model are around 9. And the normality satisfied model has larger SE of the estimate. The P-value in both model are significant, so we concluded that there are NOT enough evidence to say that </w:t>
      </w:r>
      <w:r w:rsidRPr="005B06B9">
        <w:rPr>
          <w:rFonts w:cs="TimesNewRomanPSMT"/>
          <w:kern w:val="0"/>
          <w:sz w:val="24"/>
          <w:szCs w:val="24"/>
        </w:rPr>
        <w:t>the estimated slope associated with grams of fat</w:t>
      </w:r>
      <w:r w:rsidRPr="005B06B9">
        <w:rPr>
          <w:rFonts w:cs="TimesNewRomanPSMT"/>
          <w:kern w:val="0"/>
          <w:sz w:val="24"/>
          <w:szCs w:val="24"/>
        </w:rPr>
        <w:t xml:space="preserve"> is NOT 9.</w:t>
      </w:r>
    </w:p>
    <w:p w:rsidR="00495D82" w:rsidRDefault="00495D82"/>
    <w:tbl>
      <w:tblPr>
        <w:tblStyle w:val="TableGrid"/>
        <w:tblpPr w:leftFromText="180" w:rightFromText="180" w:vertAnchor="page" w:horzAnchor="margin" w:tblpXSpec="center" w:tblpY="11581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0"/>
      </w:tblGrid>
      <w:tr w:rsidR="00FF6D8D" w:rsidTr="00FF6D8D">
        <w:trPr>
          <w:trHeight w:val="3767"/>
        </w:trPr>
        <w:tc>
          <w:tcPr>
            <w:tcW w:w="5328" w:type="dxa"/>
          </w:tcPr>
          <w:p w:rsidR="00FF6D8D" w:rsidRDefault="00FF6D8D" w:rsidP="00FF6D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198A9D" wp14:editId="54E759AA">
                  <wp:extent cx="2739390" cy="2055024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91" cy="209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FF6D8D" w:rsidRDefault="00FF6D8D" w:rsidP="00FF6D8D">
            <w:pPr>
              <w:rPr>
                <w:rFonts w:cs="TimesNewRomanPSMT"/>
                <w:kern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67A42D" wp14:editId="05122EE3">
                  <wp:extent cx="2731770" cy="2049478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64" cy="206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8D" w:rsidTr="00FF6D8D">
        <w:trPr>
          <w:trHeight w:val="800"/>
        </w:trPr>
        <w:tc>
          <w:tcPr>
            <w:tcW w:w="5328" w:type="dxa"/>
          </w:tcPr>
          <w:p w:rsidR="00FF6D8D" w:rsidRPr="000C469F" w:rsidRDefault="00FF6D8D" w:rsidP="00FF6D8D">
            <w:pPr>
              <w:widowControl/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DA50FA">
              <w:rPr>
                <w:b/>
                <w:bCs/>
                <w:iCs/>
                <w:color w:val="000000"/>
                <w:sz w:val="18"/>
                <w:szCs w:val="18"/>
              </w:rPr>
              <w:t>Figure</w:t>
            </w:r>
            <w:r w:rsidRPr="00DA50FA">
              <w:rPr>
                <w:b/>
                <w:bCs/>
                <w:iCs/>
                <w:color w:val="000000"/>
                <w:sz w:val="18"/>
                <w:szCs w:val="18"/>
                <w:lang w:val="en-US"/>
              </w:rPr>
              <w:t>1: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0C469F">
              <w:rPr>
                <w:bCs/>
                <w:i/>
                <w:iCs/>
                <w:color w:val="000000"/>
                <w:sz w:val="18"/>
                <w:szCs w:val="18"/>
              </w:rPr>
              <w:t>the histogram when the assumption of normality is satisfied</w:t>
            </w:r>
          </w:p>
        </w:tc>
        <w:tc>
          <w:tcPr>
            <w:tcW w:w="5130" w:type="dxa"/>
            <w:shd w:val="clear" w:color="auto" w:fill="auto"/>
          </w:tcPr>
          <w:p w:rsidR="00FF6D8D" w:rsidRPr="003B35BF" w:rsidRDefault="00FF6D8D" w:rsidP="00FF6D8D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DA50FA">
              <w:rPr>
                <w:b/>
                <w:bCs/>
                <w:iCs/>
                <w:color w:val="000000"/>
                <w:sz w:val="18"/>
                <w:szCs w:val="18"/>
              </w:rPr>
              <w:t>Figure</w:t>
            </w:r>
            <w:r w:rsidRPr="00DA50FA">
              <w:rPr>
                <w:b/>
                <w:bCs/>
                <w:iCs/>
                <w:color w:val="000000"/>
                <w:sz w:val="18"/>
                <w:szCs w:val="18"/>
                <w:lang w:val="en-US"/>
              </w:rPr>
              <w:t>2: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0C469F">
              <w:rPr>
                <w:bCs/>
                <w:i/>
                <w:iCs/>
                <w:color w:val="000000"/>
                <w:sz w:val="18"/>
                <w:szCs w:val="18"/>
              </w:rPr>
              <w:t>the histogram when the assumption of normality is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not</w:t>
            </w:r>
            <w:r w:rsidRPr="000C469F">
              <w:rPr>
                <w:bCs/>
                <w:i/>
                <w:iCs/>
                <w:color w:val="000000"/>
                <w:sz w:val="18"/>
                <w:szCs w:val="18"/>
              </w:rPr>
              <w:t xml:space="preserve"> satisfied</w:t>
            </w:r>
          </w:p>
        </w:tc>
      </w:tr>
    </w:tbl>
    <w:p w:rsidR="007458C6" w:rsidRDefault="007458C6"/>
    <w:sectPr w:rsidR="007458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6F" w:rsidRDefault="009D256F" w:rsidP="00495D82">
      <w:r>
        <w:separator/>
      </w:r>
    </w:p>
  </w:endnote>
  <w:endnote w:type="continuationSeparator" w:id="0">
    <w:p w:rsidR="009D256F" w:rsidRDefault="009D256F" w:rsidP="0049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orndaleAMT,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6F" w:rsidRDefault="009D256F" w:rsidP="00495D82">
      <w:r>
        <w:separator/>
      </w:r>
    </w:p>
  </w:footnote>
  <w:footnote w:type="continuationSeparator" w:id="0">
    <w:p w:rsidR="009D256F" w:rsidRDefault="009D256F" w:rsidP="00495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D82" w:rsidRPr="00EB17B0" w:rsidRDefault="00495D82" w:rsidP="00495D82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 xml:space="preserve">Yang, Kun 301178299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        Assignment 5 </w:t>
    </w:r>
    <w:r w:rsidRPr="00EB17B0">
      <w:rPr>
        <w:rFonts w:ascii="TimesNewRomanPSMT" w:hAnsi="TimesNewRomanPSMT" w:cs="TimesNewRomanPSMT"/>
        <w:kern w:val="0"/>
        <w:sz w:val="24"/>
        <w:szCs w:val="24"/>
      </w:rPr>
      <w:t>Part 1</w:t>
    </w:r>
  </w:p>
  <w:p w:rsidR="00495D82" w:rsidRPr="00495D82" w:rsidRDefault="00495D82" w:rsidP="00495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8A"/>
    <w:rsid w:val="00015B63"/>
    <w:rsid w:val="00021784"/>
    <w:rsid w:val="00030FAA"/>
    <w:rsid w:val="000355AE"/>
    <w:rsid w:val="00043941"/>
    <w:rsid w:val="00047CBF"/>
    <w:rsid w:val="00055CDC"/>
    <w:rsid w:val="00066E44"/>
    <w:rsid w:val="000B45D7"/>
    <w:rsid w:val="000C1F76"/>
    <w:rsid w:val="000C2638"/>
    <w:rsid w:val="000C278C"/>
    <w:rsid w:val="000C469F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430A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32FD0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87891"/>
    <w:rsid w:val="003A7761"/>
    <w:rsid w:val="003B62D7"/>
    <w:rsid w:val="003C3CF7"/>
    <w:rsid w:val="003D40F3"/>
    <w:rsid w:val="003D7EDE"/>
    <w:rsid w:val="004140ED"/>
    <w:rsid w:val="00427AE3"/>
    <w:rsid w:val="0043042F"/>
    <w:rsid w:val="00464F8D"/>
    <w:rsid w:val="00473341"/>
    <w:rsid w:val="00481DDA"/>
    <w:rsid w:val="00492A0D"/>
    <w:rsid w:val="00495D82"/>
    <w:rsid w:val="004B6E39"/>
    <w:rsid w:val="004C0EAD"/>
    <w:rsid w:val="004C32C2"/>
    <w:rsid w:val="004C5753"/>
    <w:rsid w:val="004C57D8"/>
    <w:rsid w:val="004D0481"/>
    <w:rsid w:val="004D5A40"/>
    <w:rsid w:val="004D6B11"/>
    <w:rsid w:val="004D720D"/>
    <w:rsid w:val="004E3AB8"/>
    <w:rsid w:val="004F5AF7"/>
    <w:rsid w:val="00503472"/>
    <w:rsid w:val="005410E6"/>
    <w:rsid w:val="005454FF"/>
    <w:rsid w:val="00555DF0"/>
    <w:rsid w:val="0056135D"/>
    <w:rsid w:val="005616C9"/>
    <w:rsid w:val="00574CD0"/>
    <w:rsid w:val="00577DEB"/>
    <w:rsid w:val="00593ABD"/>
    <w:rsid w:val="005B06B9"/>
    <w:rsid w:val="005B5527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633F7"/>
    <w:rsid w:val="00767756"/>
    <w:rsid w:val="0078594A"/>
    <w:rsid w:val="00791DC9"/>
    <w:rsid w:val="007A6529"/>
    <w:rsid w:val="007D67E0"/>
    <w:rsid w:val="007D7242"/>
    <w:rsid w:val="007E138E"/>
    <w:rsid w:val="007E7AB8"/>
    <w:rsid w:val="007F515E"/>
    <w:rsid w:val="0080107D"/>
    <w:rsid w:val="008022C4"/>
    <w:rsid w:val="0080297D"/>
    <w:rsid w:val="008029A8"/>
    <w:rsid w:val="00807CA2"/>
    <w:rsid w:val="00813496"/>
    <w:rsid w:val="008153B2"/>
    <w:rsid w:val="00817503"/>
    <w:rsid w:val="008175D1"/>
    <w:rsid w:val="00824457"/>
    <w:rsid w:val="00834114"/>
    <w:rsid w:val="00834F9B"/>
    <w:rsid w:val="0085710D"/>
    <w:rsid w:val="0086758C"/>
    <w:rsid w:val="00881B8A"/>
    <w:rsid w:val="00883AA1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5737A"/>
    <w:rsid w:val="00971444"/>
    <w:rsid w:val="00977C0F"/>
    <w:rsid w:val="00984AEB"/>
    <w:rsid w:val="009A1477"/>
    <w:rsid w:val="009A175E"/>
    <w:rsid w:val="009B06BB"/>
    <w:rsid w:val="009B21D6"/>
    <w:rsid w:val="009C0C3B"/>
    <w:rsid w:val="009D0E0E"/>
    <w:rsid w:val="009D256F"/>
    <w:rsid w:val="009D2C11"/>
    <w:rsid w:val="009D7E48"/>
    <w:rsid w:val="009E48CF"/>
    <w:rsid w:val="00A07F9C"/>
    <w:rsid w:val="00A14BDF"/>
    <w:rsid w:val="00A1644C"/>
    <w:rsid w:val="00A25049"/>
    <w:rsid w:val="00A27F17"/>
    <w:rsid w:val="00A30314"/>
    <w:rsid w:val="00A306BF"/>
    <w:rsid w:val="00A3105F"/>
    <w:rsid w:val="00A32B96"/>
    <w:rsid w:val="00A54E4B"/>
    <w:rsid w:val="00A562D2"/>
    <w:rsid w:val="00A57448"/>
    <w:rsid w:val="00A575DA"/>
    <w:rsid w:val="00A6099D"/>
    <w:rsid w:val="00A64D3E"/>
    <w:rsid w:val="00A70C9D"/>
    <w:rsid w:val="00A774D2"/>
    <w:rsid w:val="00A87C5F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15327"/>
    <w:rsid w:val="00B25F56"/>
    <w:rsid w:val="00B30313"/>
    <w:rsid w:val="00B30ACF"/>
    <w:rsid w:val="00B30C0B"/>
    <w:rsid w:val="00B316D5"/>
    <w:rsid w:val="00B43B40"/>
    <w:rsid w:val="00B44D03"/>
    <w:rsid w:val="00B55E3C"/>
    <w:rsid w:val="00B724D4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2DFD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3692C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A50FA"/>
    <w:rsid w:val="00DB1853"/>
    <w:rsid w:val="00DB3190"/>
    <w:rsid w:val="00DB3570"/>
    <w:rsid w:val="00DE42A7"/>
    <w:rsid w:val="00DE667D"/>
    <w:rsid w:val="00DF34E8"/>
    <w:rsid w:val="00E01BC0"/>
    <w:rsid w:val="00E123A1"/>
    <w:rsid w:val="00E22088"/>
    <w:rsid w:val="00E22D81"/>
    <w:rsid w:val="00E2356F"/>
    <w:rsid w:val="00E238D1"/>
    <w:rsid w:val="00E45F73"/>
    <w:rsid w:val="00E45F8A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24D5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E4E3D-F306-4983-B170-1DDB2D04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D82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D8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95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D82"/>
    <w:rPr>
      <w:lang w:val="en-CA"/>
    </w:rPr>
  </w:style>
  <w:style w:type="table" w:styleId="TableGrid">
    <w:name w:val="Table Grid"/>
    <w:basedOn w:val="TableNormal"/>
    <w:uiPriority w:val="59"/>
    <w:rsid w:val="00495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77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dcterms:created xsi:type="dcterms:W3CDTF">2015-02-06T00:00:00Z</dcterms:created>
  <dcterms:modified xsi:type="dcterms:W3CDTF">2015-02-06T23:15:00Z</dcterms:modified>
</cp:coreProperties>
</file>