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D4" w:rsidRDefault="00E54AD4" w:rsidP="00E54AD4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Cereal Dataset</w:t>
      </w:r>
    </w:p>
    <w:p w:rsidR="00E54AD4" w:rsidRDefault="00E54AD4" w:rsidP="00E54AD4"/>
    <w:p w:rsidR="00E54AD4" w:rsidRDefault="00E54AD4" w:rsidP="0074791F">
      <w:pPr>
        <w:widowControl/>
        <w:autoSpaceDE w:val="0"/>
        <w:autoSpaceDN w:val="0"/>
        <w:adjustRightInd w:val="0"/>
        <w:spacing w:after="240" w:line="480" w:lineRule="auto"/>
        <w:rPr>
          <w:rFonts w:cs="TimesNewRomanPSMT"/>
          <w:kern w:val="0"/>
          <w:sz w:val="24"/>
          <w:szCs w:val="24"/>
        </w:rPr>
      </w:pPr>
      <w:r w:rsidRPr="00DA4F21">
        <w:rPr>
          <w:rFonts w:cs="TimesNewRomanPSMT"/>
          <w:kern w:val="0"/>
          <w:sz w:val="24"/>
          <w:szCs w:val="24"/>
        </w:rPr>
        <w:t xml:space="preserve">The </w:t>
      </w:r>
      <w:r w:rsidRPr="00E54AD4">
        <w:rPr>
          <w:rFonts w:cs="TimesNewRomanPSMT"/>
          <w:kern w:val="0"/>
          <w:sz w:val="24"/>
          <w:szCs w:val="24"/>
        </w:rPr>
        <w:t xml:space="preserve">nutritional </w:t>
      </w:r>
      <w:r>
        <w:rPr>
          <w:rFonts w:cs="TimesNewRomanPSMT"/>
          <w:kern w:val="0"/>
          <w:sz w:val="24"/>
          <w:szCs w:val="24"/>
        </w:rPr>
        <w:t>content</w:t>
      </w:r>
      <w:r w:rsidRPr="00DA4F21"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 xml:space="preserve">of </w:t>
      </w:r>
      <w:r w:rsidRPr="00E54AD4">
        <w:rPr>
          <w:rFonts w:cs="TimesNewRomanPSMT"/>
          <w:kern w:val="0"/>
          <w:sz w:val="24"/>
          <w:szCs w:val="24"/>
        </w:rPr>
        <w:t xml:space="preserve">80 cereals </w:t>
      </w:r>
      <w:r>
        <w:rPr>
          <w:rFonts w:cs="TimesNewRomanPSMT"/>
          <w:kern w:val="0"/>
          <w:sz w:val="24"/>
          <w:szCs w:val="24"/>
        </w:rPr>
        <w:t xml:space="preserve">samples of 77 different bands </w:t>
      </w:r>
      <w:r w:rsidRPr="00DA4F21">
        <w:rPr>
          <w:rFonts w:cs="TimesNewRomanPSMT"/>
          <w:kern w:val="0"/>
          <w:sz w:val="24"/>
          <w:szCs w:val="24"/>
        </w:rPr>
        <w:t xml:space="preserve">was obtained. </w:t>
      </w:r>
      <w:r>
        <w:rPr>
          <w:rFonts w:cs="TimesNewRomanPSMT"/>
          <w:kern w:val="0"/>
          <w:sz w:val="24"/>
          <w:szCs w:val="24"/>
        </w:rPr>
        <w:t xml:space="preserve">The </w:t>
      </w:r>
      <w:r w:rsidR="00C750E2">
        <w:rPr>
          <w:rFonts w:cs="TimesNewRomanPSMT"/>
          <w:kern w:val="0"/>
          <w:sz w:val="24"/>
          <w:szCs w:val="24"/>
        </w:rPr>
        <w:t xml:space="preserve">cereals’ position on the </w:t>
      </w:r>
      <w:r>
        <w:rPr>
          <w:rFonts w:cs="TimesNewRomanPSMT"/>
          <w:kern w:val="0"/>
          <w:sz w:val="24"/>
          <w:szCs w:val="24"/>
        </w:rPr>
        <w:t>shelf was recorded</w:t>
      </w:r>
      <w:r w:rsidR="00C750E2">
        <w:rPr>
          <w:rFonts w:cs="TimesNewRomanPSMT"/>
          <w:kern w:val="0"/>
          <w:sz w:val="24"/>
          <w:szCs w:val="24"/>
        </w:rPr>
        <w:t>. We need analyze how the shelf was correlated</w:t>
      </w:r>
      <w:r>
        <w:rPr>
          <w:rFonts w:cs="TimesNewRomanPSMT"/>
          <w:kern w:val="0"/>
          <w:sz w:val="24"/>
          <w:szCs w:val="24"/>
        </w:rPr>
        <w:t xml:space="preserve"> with</w:t>
      </w:r>
      <w:r w:rsidR="00C750E2">
        <w:rPr>
          <w:rFonts w:cs="TimesNewRomanPSMT"/>
          <w:kern w:val="0"/>
          <w:sz w:val="24"/>
          <w:szCs w:val="24"/>
        </w:rPr>
        <w:t xml:space="preserve"> the cereals’ sugars/serving</w:t>
      </w:r>
      <w:r>
        <w:rPr>
          <w:rFonts w:cs="TimesNewRomanPSMT"/>
          <w:kern w:val="0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page" w:horzAnchor="margin" w:tblpXSpec="center" w:tblpY="11641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5269"/>
      </w:tblGrid>
      <w:tr w:rsidR="0074791F" w:rsidTr="0074791F">
        <w:trPr>
          <w:trHeight w:val="3860"/>
        </w:trPr>
        <w:tc>
          <w:tcPr>
            <w:tcW w:w="2730" w:type="dxa"/>
          </w:tcPr>
          <w:tbl>
            <w:tblPr>
              <w:tblpPr w:leftFromText="180" w:rightFromText="180" w:vertAnchor="page" w:horzAnchor="margin" w:tblpY="133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74"/>
              <w:gridCol w:w="11"/>
              <w:gridCol w:w="561"/>
              <w:gridCol w:w="711"/>
              <w:gridCol w:w="1031"/>
              <w:gridCol w:w="711"/>
            </w:tblGrid>
            <w:tr w:rsidR="000266F3" w:rsidTr="000266F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245"/>
                <w:tblHeader/>
              </w:trPr>
              <w:tc>
                <w:tcPr>
                  <w:tcW w:w="474" w:type="dxa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0266F3" w:rsidRDefault="000266F3" w:rsidP="0074791F">
                  <w:pPr>
                    <w:keepNext/>
                    <w:adjustRightInd w:val="0"/>
                    <w:jc w:val="right"/>
                    <w:rPr>
                      <w:b/>
                      <w:bCs/>
                      <w:color w:val="000000"/>
                      <w:sz w:val="22"/>
                    </w:rPr>
                  </w:pPr>
                  <w:bookmarkStart w:id="0" w:name="_GoBack"/>
                  <w:proofErr w:type="spellStart"/>
                  <w:r>
                    <w:rPr>
                      <w:b/>
                      <w:bCs/>
                      <w:color w:val="000000"/>
                      <w:sz w:val="22"/>
                    </w:rPr>
                    <w:t>Obs</w:t>
                  </w:r>
                  <w:proofErr w:type="spellEnd"/>
                </w:p>
              </w:tc>
              <w:tc>
                <w:tcPr>
                  <w:tcW w:w="11" w:type="dxa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BBBBB"/>
                </w:tcPr>
                <w:p w:rsidR="000266F3" w:rsidRDefault="000266F3" w:rsidP="0074791F">
                  <w:pPr>
                    <w:keepNext/>
                    <w:adjustRightInd w:val="0"/>
                    <w:rPr>
                      <w:b/>
                      <w:bCs/>
                      <w:color w:val="000000"/>
                      <w:sz w:val="22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0266F3" w:rsidRDefault="000266F3" w:rsidP="0074791F">
                  <w:pPr>
                    <w:keepNext/>
                    <w:adjustRightInd w:val="0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shelf</w:t>
                  </w:r>
                </w:p>
              </w:tc>
              <w:tc>
                <w:tcPr>
                  <w:tcW w:w="711" w:type="dxa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0266F3" w:rsidRDefault="000266F3" w:rsidP="0074791F">
                  <w:pPr>
                    <w:keepNext/>
                    <w:adjustRightInd w:val="0"/>
                    <w:jc w:val="right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95%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br/>
                    <w:t>CI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br/>
                    <w:t>lower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br/>
                    <w:t>bound</w:t>
                  </w:r>
                </w:p>
              </w:tc>
              <w:tc>
                <w:tcPr>
                  <w:tcW w:w="1031" w:type="dxa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0266F3" w:rsidRDefault="000266F3" w:rsidP="0074791F">
                  <w:pPr>
                    <w:keepNext/>
                    <w:adjustRightInd w:val="0"/>
                    <w:jc w:val="right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Estimated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br/>
                    <w:t>mean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br/>
                    <w:t>amount</w:t>
                  </w:r>
                </w:p>
              </w:tc>
              <w:tc>
                <w:tcPr>
                  <w:tcW w:w="711" w:type="dxa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0266F3" w:rsidRDefault="000266F3" w:rsidP="0074791F">
                  <w:pPr>
                    <w:keepNext/>
                    <w:adjustRightInd w:val="0"/>
                    <w:jc w:val="right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95%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br/>
                    <w:t>CI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br/>
                    <w:t>Upper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br/>
                    <w:t>bound</w:t>
                  </w:r>
                </w:p>
              </w:tc>
            </w:tr>
            <w:tr w:rsidR="000266F3" w:rsidTr="000266F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617"/>
              </w:trPr>
              <w:tc>
                <w:tcPr>
                  <w:tcW w:w="474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jc w:val="right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1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</w:tcPr>
                <w:p w:rsidR="000266F3" w:rsidRDefault="000266F3" w:rsidP="0074791F">
                  <w:pPr>
                    <w:adjustRightInd w:val="0"/>
                    <w:rPr>
                      <w:color w:val="00000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low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</w:t>
                  </w:r>
                </w:p>
              </w:tc>
            </w:tr>
            <w:tr w:rsidR="000266F3" w:rsidTr="000266F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42"/>
              </w:trPr>
              <w:tc>
                <w:tcPr>
                  <w:tcW w:w="474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keepNext/>
                    <w:adjustRightInd w:val="0"/>
                    <w:jc w:val="right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1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</w:tcPr>
                <w:p w:rsidR="000266F3" w:rsidRDefault="000266F3" w:rsidP="0074791F">
                  <w:pPr>
                    <w:keepNext/>
                    <w:adjustRightInd w:val="0"/>
                    <w:rPr>
                      <w:color w:val="00000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keepNext/>
                    <w:adjustRightInd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mid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keepNext/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7.8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keepNext/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9.6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keepNext/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11.4</w:t>
                  </w:r>
                </w:p>
              </w:tc>
            </w:tr>
            <w:tr w:rsidR="000266F3" w:rsidTr="000266F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62"/>
              </w:trPr>
              <w:tc>
                <w:tcPr>
                  <w:tcW w:w="474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jc w:val="right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w="11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</w:tcPr>
                <w:p w:rsidR="000266F3" w:rsidRDefault="000266F3" w:rsidP="0074791F">
                  <w:pPr>
                    <w:adjustRightInd w:val="0"/>
                    <w:rPr>
                      <w:color w:val="00000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top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5.2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6.5</w:t>
                  </w:r>
                </w:p>
              </w:tc>
              <w:tc>
                <w:tcPr>
                  <w:tcW w:w="711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:rsidR="000266F3" w:rsidRDefault="000266F3" w:rsidP="0074791F">
                  <w:pPr>
                    <w:adjustRightInd w:val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7.9</w:t>
                  </w:r>
                </w:p>
              </w:tc>
            </w:tr>
          </w:tbl>
          <w:p w:rsidR="0074791F" w:rsidRPr="003B35BF" w:rsidRDefault="0074791F" w:rsidP="0074791F">
            <w:pPr>
              <w:rPr>
                <w:rFonts w:cs="TimesNewRomanPSMT"/>
                <w:i/>
                <w:kern w:val="0"/>
                <w:sz w:val="18"/>
                <w:szCs w:val="18"/>
              </w:rPr>
            </w:pPr>
            <w:r w:rsidRPr="00D653B9">
              <w:rPr>
                <w:bCs/>
                <w:iCs/>
                <w:color w:val="000000"/>
                <w:sz w:val="18"/>
                <w:szCs w:val="18"/>
              </w:rPr>
              <w:t>Fingure1:</w:t>
            </w:r>
            <w:r>
              <w:rPr>
                <w:rFonts w:cs="TimesNewRomanPSMT"/>
                <w:kern w:val="0"/>
                <w:sz w:val="24"/>
                <w:szCs w:val="24"/>
              </w:rPr>
              <w:t xml:space="preserve"> </w:t>
            </w:r>
            <w:r w:rsidRPr="00D653B9">
              <w:rPr>
                <w:rFonts w:cs="TimesNewRomanPSMT"/>
                <w:i/>
                <w:kern w:val="0"/>
                <w:sz w:val="18"/>
                <w:szCs w:val="18"/>
              </w:rPr>
              <w:t xml:space="preserve">It shows the estimated mean amount of sugars/serving </w:t>
            </w:r>
            <w:r>
              <w:rPr>
                <w:rFonts w:cs="TimesNewRomanPSMT"/>
                <w:i/>
                <w:kern w:val="0"/>
                <w:sz w:val="18"/>
                <w:szCs w:val="18"/>
              </w:rPr>
              <w:t xml:space="preserve">for each shelf along </w:t>
            </w:r>
            <w:r w:rsidRPr="003B35BF">
              <w:rPr>
                <w:rFonts w:cs="TimesNewRomanPSMT"/>
                <w:i/>
                <w:kern w:val="0"/>
                <w:sz w:val="18"/>
                <w:szCs w:val="18"/>
              </w:rPr>
              <w:t xml:space="preserve">with a 95% confidence interval for the population mean </w:t>
            </w:r>
            <w:r w:rsidRPr="00D653B9">
              <w:rPr>
                <w:rFonts w:cs="TimesNewRomanPSMT"/>
                <w:i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270" w:type="dxa"/>
          </w:tcPr>
          <w:p w:rsidR="0074791F" w:rsidRDefault="0074791F" w:rsidP="0074791F">
            <w:pPr>
              <w:rPr>
                <w:rFonts w:cs="TimesNewRomanPSMT"/>
                <w:kern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4EC22BE" wp14:editId="11FD9A49">
                  <wp:extent cx="3022599" cy="226695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556" cy="228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91F" w:rsidTr="0074791F">
        <w:trPr>
          <w:trHeight w:val="800"/>
        </w:trPr>
        <w:tc>
          <w:tcPr>
            <w:tcW w:w="2730" w:type="dxa"/>
          </w:tcPr>
          <w:p w:rsidR="0074791F" w:rsidRDefault="0074791F" w:rsidP="0074791F">
            <w:pPr>
              <w:keepNext/>
              <w:adjustRightInd w:val="0"/>
              <w:jc w:val="right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6270" w:type="dxa"/>
            <w:shd w:val="clear" w:color="auto" w:fill="auto"/>
          </w:tcPr>
          <w:p w:rsidR="0074791F" w:rsidRPr="003B35BF" w:rsidRDefault="0074791F" w:rsidP="0074791F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>Figure</w:t>
            </w:r>
            <w:r>
              <w:rPr>
                <w:bCs/>
                <w:iCs/>
                <w:color w:val="000000"/>
                <w:sz w:val="18"/>
                <w:szCs w:val="18"/>
                <w:lang w:val="en-US"/>
              </w:rPr>
              <w:t xml:space="preserve">2: </w:t>
            </w:r>
            <w:r w:rsidRPr="003B35BF">
              <w:rPr>
                <w:bCs/>
                <w:i/>
                <w:iCs/>
                <w:color w:val="000000"/>
                <w:sz w:val="18"/>
                <w:szCs w:val="18"/>
              </w:rPr>
              <w:t>The plot of the mean amount of suga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r/serving by shelf with the 95% </w:t>
            </w:r>
            <w:r w:rsidRPr="003B35BF">
              <w:rPr>
                <w:bCs/>
                <w:i/>
                <w:iCs/>
                <w:color w:val="000000"/>
                <w:sz w:val="18"/>
                <w:szCs w:val="18"/>
              </w:rPr>
              <w:t>confidence intervals.</w:t>
            </w:r>
          </w:p>
        </w:tc>
      </w:tr>
    </w:tbl>
    <w:bookmarkEnd w:id="0"/>
    <w:p w:rsidR="002F24FA" w:rsidRPr="00E54AD4" w:rsidRDefault="00C750E2" w:rsidP="0074791F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From the scatter plot and the boxplot, we noticed that the middle position cereal seems have higher amount of sugars/serving. Then </w:t>
      </w:r>
      <w:r w:rsidR="00C9384B">
        <w:rPr>
          <w:rFonts w:cs="TimesNewRomanPSMT"/>
          <w:kern w:val="0"/>
          <w:sz w:val="24"/>
          <w:szCs w:val="24"/>
        </w:rPr>
        <w:t>we checked</w:t>
      </w:r>
      <w:r>
        <w:rPr>
          <w:rFonts w:cs="TimesNewRomanPSMT"/>
          <w:kern w:val="0"/>
          <w:sz w:val="24"/>
          <w:szCs w:val="24"/>
        </w:rPr>
        <w:t xml:space="preserve"> the result of hypothesis testing about </w:t>
      </w:r>
      <w:r w:rsidR="00C9384B">
        <w:rPr>
          <w:rFonts w:cs="TimesNewRomanPSMT"/>
          <w:kern w:val="0"/>
          <w:sz w:val="24"/>
          <w:szCs w:val="24"/>
        </w:rPr>
        <w:t xml:space="preserve">the mean of </w:t>
      </w:r>
      <w:r>
        <w:rPr>
          <w:rFonts w:cs="TimesNewRomanPSMT"/>
          <w:kern w:val="0"/>
          <w:sz w:val="24"/>
          <w:szCs w:val="24"/>
        </w:rPr>
        <w:t xml:space="preserve">the amount of </w:t>
      </w:r>
      <w:r>
        <w:rPr>
          <w:rFonts w:cs="TimesNewRomanPSMT"/>
          <w:kern w:val="0"/>
          <w:sz w:val="24"/>
          <w:szCs w:val="24"/>
        </w:rPr>
        <w:t>sugars/serving</w:t>
      </w:r>
      <w:r w:rsidR="00C9384B">
        <w:rPr>
          <w:rFonts w:cs="TimesNewRomanPSMT"/>
          <w:kern w:val="0"/>
          <w:sz w:val="24"/>
          <w:szCs w:val="24"/>
        </w:rPr>
        <w:t>. The F-statistic is 6.60 and the p-value is 0.0023.</w:t>
      </w:r>
      <w:r w:rsidR="002F24FA">
        <w:rPr>
          <w:rFonts w:cs="TimesNewRomanPSMT"/>
          <w:kern w:val="0"/>
          <w:sz w:val="24"/>
          <w:szCs w:val="24"/>
        </w:rPr>
        <w:t xml:space="preserve"> Therefore, we do </w:t>
      </w:r>
      <w:r w:rsidR="002F24FA" w:rsidRPr="002F24FA">
        <w:rPr>
          <w:rFonts w:cs="TimesNewRomanPSMT"/>
          <w:b/>
          <w:kern w:val="0"/>
          <w:sz w:val="24"/>
          <w:szCs w:val="24"/>
        </w:rPr>
        <w:t>NOT</w:t>
      </w:r>
      <w:r w:rsidR="002F24FA">
        <w:rPr>
          <w:rFonts w:cs="TimesNewRomanPSMT"/>
          <w:kern w:val="0"/>
          <w:sz w:val="24"/>
          <w:szCs w:val="24"/>
        </w:rPr>
        <w:t xml:space="preserve"> have enough evidences to show that the mean amount of sugars/serving </w:t>
      </w:r>
      <w:r w:rsidR="00064EA6">
        <w:rPr>
          <w:rFonts w:cs="TimesNewRomanPSMT"/>
          <w:kern w:val="0"/>
          <w:sz w:val="24"/>
          <w:szCs w:val="24"/>
        </w:rPr>
        <w:t>for each</w:t>
      </w:r>
      <w:r w:rsidR="002F24FA">
        <w:rPr>
          <w:rFonts w:cs="TimesNewRomanPSMT"/>
          <w:kern w:val="0"/>
          <w:sz w:val="24"/>
          <w:szCs w:val="24"/>
        </w:rPr>
        <w:t xml:space="preserve"> </w:t>
      </w:r>
      <w:r w:rsidR="00064EA6">
        <w:rPr>
          <w:rFonts w:cs="TimesNewRomanPSMT"/>
          <w:kern w:val="0"/>
          <w:sz w:val="24"/>
          <w:szCs w:val="24"/>
        </w:rPr>
        <w:t xml:space="preserve">shelf </w:t>
      </w:r>
      <w:r w:rsidR="002F24FA">
        <w:rPr>
          <w:rFonts w:cs="TimesNewRomanPSMT"/>
          <w:kern w:val="0"/>
          <w:sz w:val="24"/>
          <w:szCs w:val="24"/>
        </w:rPr>
        <w:t xml:space="preserve">are </w:t>
      </w:r>
      <w:r w:rsidR="00064EA6">
        <w:rPr>
          <w:rFonts w:cs="TimesNewRomanPSMT"/>
          <w:b/>
          <w:kern w:val="0"/>
          <w:sz w:val="24"/>
          <w:szCs w:val="24"/>
        </w:rPr>
        <w:t>indifferent</w:t>
      </w:r>
      <w:r w:rsidR="002F24FA">
        <w:rPr>
          <w:rFonts w:cs="TimesNewRomanPSMT"/>
          <w:kern w:val="0"/>
          <w:sz w:val="24"/>
          <w:szCs w:val="24"/>
        </w:rPr>
        <w:t xml:space="preserve">. </w:t>
      </w:r>
      <w:bookmarkStart w:id="1" w:name="IDX"/>
      <w:bookmarkEnd w:id="1"/>
      <w:r w:rsidR="003B35BF">
        <w:rPr>
          <w:rFonts w:cs="TimesNewRomanPSMT"/>
          <w:kern w:val="0"/>
          <w:sz w:val="24"/>
          <w:szCs w:val="24"/>
        </w:rPr>
        <w:t xml:space="preserve">In addition, as shown in the Figure 1 below, </w:t>
      </w:r>
      <w:r w:rsidR="001E3D92">
        <w:rPr>
          <w:rFonts w:cs="TimesNewRomanPSMT"/>
          <w:kern w:val="0"/>
          <w:sz w:val="24"/>
          <w:szCs w:val="24"/>
        </w:rPr>
        <w:t>t</w:t>
      </w:r>
      <w:r w:rsidR="00064EA6">
        <w:rPr>
          <w:rFonts w:cs="TimesNewRomanPSMT"/>
          <w:kern w:val="0"/>
          <w:sz w:val="24"/>
          <w:szCs w:val="24"/>
        </w:rPr>
        <w:t>he</w:t>
      </w:r>
      <w:r w:rsidR="00064EA6">
        <w:rPr>
          <w:rFonts w:cs="TimesNewRomanPSMT"/>
          <w:kern w:val="0"/>
          <w:sz w:val="24"/>
          <w:szCs w:val="24"/>
        </w:rPr>
        <w:t xml:space="preserve"> </w:t>
      </w:r>
      <w:r w:rsidR="00064EA6" w:rsidRPr="003B35BF">
        <w:rPr>
          <w:rFonts w:cs="TimesNewRomanPSMT"/>
          <w:kern w:val="0"/>
          <w:sz w:val="24"/>
          <w:szCs w:val="24"/>
        </w:rPr>
        <w:t>estimated mean amount of sugars/serving for middle shelf</w:t>
      </w:r>
      <w:r w:rsidR="00064EA6">
        <w:rPr>
          <w:rFonts w:cs="TimesNewRomanPSMT"/>
          <w:kern w:val="0"/>
          <w:sz w:val="24"/>
          <w:szCs w:val="24"/>
        </w:rPr>
        <w:t xml:space="preserve"> is 9.6, which is significantly higher than the estimated mean amount for the low shelf (5.1) and top shelf (6.5</w:t>
      </w:r>
      <w:r w:rsidR="001E3D92">
        <w:rPr>
          <w:rFonts w:cs="TimesNewRomanPSMT"/>
          <w:kern w:val="0"/>
          <w:sz w:val="24"/>
          <w:szCs w:val="24"/>
        </w:rPr>
        <w:t>). And</w:t>
      </w:r>
      <w:r w:rsidR="001E3D92">
        <w:rPr>
          <w:rFonts w:cs="TimesNewRomanPSMT"/>
          <w:kern w:val="0"/>
          <w:sz w:val="24"/>
          <w:szCs w:val="24"/>
        </w:rPr>
        <w:t xml:space="preserve"> the 95% confidence interval for the mean amount of sugars/serving is (</w:t>
      </w:r>
      <w:r w:rsidR="001E3D92">
        <w:rPr>
          <w:rFonts w:cs="TimesNewRomanPSMT"/>
          <w:kern w:val="0"/>
          <w:sz w:val="24"/>
          <w:szCs w:val="24"/>
        </w:rPr>
        <w:t>7.8, 11.4</w:t>
      </w:r>
      <w:r w:rsidR="001E3D92">
        <w:rPr>
          <w:rFonts w:cs="TimesNewRomanPSMT"/>
          <w:kern w:val="0"/>
          <w:sz w:val="24"/>
          <w:szCs w:val="24"/>
        </w:rPr>
        <w:t>)</w:t>
      </w:r>
      <w:r w:rsidR="001E3D92">
        <w:rPr>
          <w:rFonts w:cs="TimesNewRomanPSMT"/>
          <w:kern w:val="0"/>
          <w:sz w:val="24"/>
          <w:szCs w:val="24"/>
        </w:rPr>
        <w:t>, compared to low shelf (</w:t>
      </w:r>
      <w:r w:rsidR="001E3D92">
        <w:rPr>
          <w:rFonts w:cs="TimesNewRomanPSMT"/>
          <w:kern w:val="0"/>
          <w:sz w:val="24"/>
          <w:szCs w:val="24"/>
        </w:rPr>
        <w:t>3.2, 7.0</w:t>
      </w:r>
      <w:r w:rsidR="001E3D92">
        <w:rPr>
          <w:rFonts w:cs="TimesNewRomanPSMT"/>
          <w:kern w:val="0"/>
          <w:sz w:val="24"/>
          <w:szCs w:val="24"/>
        </w:rPr>
        <w:t xml:space="preserve">) and top shelf (5.2, 7.9). </w:t>
      </w:r>
      <w:r w:rsidR="00AD4DC2">
        <w:rPr>
          <w:rFonts w:cs="TimesNewRomanPSMT"/>
          <w:kern w:val="0"/>
          <w:sz w:val="24"/>
          <w:szCs w:val="24"/>
        </w:rPr>
        <w:t xml:space="preserve">The cereals on the middle shelf have </w:t>
      </w:r>
      <w:r w:rsidR="0045498E">
        <w:rPr>
          <w:rFonts w:cs="TimesNewRomanPSMT"/>
          <w:kern w:val="0"/>
          <w:sz w:val="24"/>
          <w:szCs w:val="24"/>
        </w:rPr>
        <w:t>the highest</w:t>
      </w:r>
      <w:r w:rsidR="00AD4DC2">
        <w:rPr>
          <w:rFonts w:cs="TimesNewRomanPSMT"/>
          <w:kern w:val="0"/>
          <w:sz w:val="24"/>
          <w:szCs w:val="24"/>
        </w:rPr>
        <w:t xml:space="preserve"> </w:t>
      </w:r>
      <w:r w:rsidR="0045498E">
        <w:rPr>
          <w:rFonts w:cs="TimesNewRomanPSMT"/>
          <w:kern w:val="0"/>
          <w:sz w:val="24"/>
          <w:szCs w:val="24"/>
        </w:rPr>
        <w:t xml:space="preserve">mean of </w:t>
      </w:r>
      <w:r w:rsidR="00AD4DC2">
        <w:rPr>
          <w:rFonts w:cs="TimesNewRomanPSMT"/>
          <w:kern w:val="0"/>
          <w:sz w:val="24"/>
          <w:szCs w:val="24"/>
        </w:rPr>
        <w:t xml:space="preserve">sugar/serving. </w:t>
      </w:r>
      <w:r w:rsidR="0045498E">
        <w:rPr>
          <w:rFonts w:cs="TimesNewRomanPSMT"/>
          <w:kern w:val="0"/>
          <w:sz w:val="24"/>
          <w:szCs w:val="24"/>
        </w:rPr>
        <w:t>The Low and top shelf seems have same mean.</w:t>
      </w:r>
    </w:p>
    <w:sectPr w:rsidR="002F24FA" w:rsidRPr="00E54AD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917" w:rsidRDefault="007D5917" w:rsidP="00E54AD4">
      <w:r>
        <w:separator/>
      </w:r>
    </w:p>
  </w:endnote>
  <w:endnote w:type="continuationSeparator" w:id="0">
    <w:p w:rsidR="007D5917" w:rsidRDefault="007D5917" w:rsidP="00E5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917" w:rsidRDefault="007D5917" w:rsidP="00E54AD4">
      <w:r>
        <w:separator/>
      </w:r>
    </w:p>
  </w:footnote>
  <w:footnote w:type="continuationSeparator" w:id="0">
    <w:p w:rsidR="007D5917" w:rsidRDefault="007D5917" w:rsidP="00E54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AD4" w:rsidRPr="00EB17B0" w:rsidRDefault="00E54AD4" w:rsidP="00E54AD4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Assignment 2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Part 1</w:t>
    </w:r>
  </w:p>
  <w:p w:rsidR="00E54AD4" w:rsidRDefault="00E54AD4" w:rsidP="00E54AD4">
    <w:pPr>
      <w:pStyle w:val="Header"/>
    </w:pPr>
  </w:p>
  <w:p w:rsidR="00E54AD4" w:rsidRPr="00E54AD4" w:rsidRDefault="00E54AD4" w:rsidP="00E54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F3"/>
    <w:rsid w:val="00015B63"/>
    <w:rsid w:val="00021784"/>
    <w:rsid w:val="000266F3"/>
    <w:rsid w:val="00030FAA"/>
    <w:rsid w:val="000355AE"/>
    <w:rsid w:val="00043941"/>
    <w:rsid w:val="00047CBF"/>
    <w:rsid w:val="00064EA6"/>
    <w:rsid w:val="00066E44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1E3D92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A472B"/>
    <w:rsid w:val="002A6BCA"/>
    <w:rsid w:val="002B2125"/>
    <w:rsid w:val="002D1C74"/>
    <w:rsid w:val="002D470A"/>
    <w:rsid w:val="002F24FA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35BF"/>
    <w:rsid w:val="003B62D7"/>
    <w:rsid w:val="003D40F3"/>
    <w:rsid w:val="004140ED"/>
    <w:rsid w:val="00427AE3"/>
    <w:rsid w:val="0043042F"/>
    <w:rsid w:val="0045498E"/>
    <w:rsid w:val="00464F8D"/>
    <w:rsid w:val="00473341"/>
    <w:rsid w:val="00492A0D"/>
    <w:rsid w:val="004B6E39"/>
    <w:rsid w:val="004C0EAD"/>
    <w:rsid w:val="004C32C2"/>
    <w:rsid w:val="004C4FFA"/>
    <w:rsid w:val="004C57D8"/>
    <w:rsid w:val="004D0481"/>
    <w:rsid w:val="004D5A40"/>
    <w:rsid w:val="004D6B11"/>
    <w:rsid w:val="004D720D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4791F"/>
    <w:rsid w:val="0075132A"/>
    <w:rsid w:val="00752994"/>
    <w:rsid w:val="00752AFB"/>
    <w:rsid w:val="007633F7"/>
    <w:rsid w:val="00767756"/>
    <w:rsid w:val="0078594A"/>
    <w:rsid w:val="00791DC9"/>
    <w:rsid w:val="007A6529"/>
    <w:rsid w:val="007D5917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926A6"/>
    <w:rsid w:val="008949E8"/>
    <w:rsid w:val="00897E4E"/>
    <w:rsid w:val="008B5E4E"/>
    <w:rsid w:val="008C25A0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562CC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A07F9C"/>
    <w:rsid w:val="00A14BDF"/>
    <w:rsid w:val="00A1644C"/>
    <w:rsid w:val="00A200BF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445C"/>
    <w:rsid w:val="00AB1E81"/>
    <w:rsid w:val="00AB2694"/>
    <w:rsid w:val="00AB498B"/>
    <w:rsid w:val="00AC40F7"/>
    <w:rsid w:val="00AD186D"/>
    <w:rsid w:val="00AD4DC2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329F3"/>
    <w:rsid w:val="00B372AB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724D5"/>
    <w:rsid w:val="00C750E2"/>
    <w:rsid w:val="00C83D77"/>
    <w:rsid w:val="00C84784"/>
    <w:rsid w:val="00C90396"/>
    <w:rsid w:val="00C92D2E"/>
    <w:rsid w:val="00C9384B"/>
    <w:rsid w:val="00CA7749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653B9"/>
    <w:rsid w:val="00D86A07"/>
    <w:rsid w:val="00D87CD9"/>
    <w:rsid w:val="00D9345D"/>
    <w:rsid w:val="00D959CA"/>
    <w:rsid w:val="00D96A63"/>
    <w:rsid w:val="00DA4611"/>
    <w:rsid w:val="00DB3190"/>
    <w:rsid w:val="00DB3570"/>
    <w:rsid w:val="00DE33E8"/>
    <w:rsid w:val="00DE42A7"/>
    <w:rsid w:val="00DF34E8"/>
    <w:rsid w:val="00E01BC0"/>
    <w:rsid w:val="00E22088"/>
    <w:rsid w:val="00E238D1"/>
    <w:rsid w:val="00E45F73"/>
    <w:rsid w:val="00E54262"/>
    <w:rsid w:val="00E54AD4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33543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CF43C-CD85-48FE-B4B6-9FE2048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AD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54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AD4"/>
    <w:rPr>
      <w:lang w:val="en-CA"/>
    </w:rPr>
  </w:style>
  <w:style w:type="table" w:styleId="TableGrid">
    <w:name w:val="Table Grid"/>
    <w:basedOn w:val="TableNormal"/>
    <w:uiPriority w:val="59"/>
    <w:rsid w:val="002F2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3F923-A905-4D53-A70F-1FD3C2B7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29</cp:revision>
  <cp:lastPrinted>2015-01-16T22:39:00Z</cp:lastPrinted>
  <dcterms:created xsi:type="dcterms:W3CDTF">2015-01-16T10:01:00Z</dcterms:created>
  <dcterms:modified xsi:type="dcterms:W3CDTF">2015-01-16T23:05:00Z</dcterms:modified>
</cp:coreProperties>
</file>