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Growth Circle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Private Markets Dashboard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Setup &amp; User Guide</w:t>
      </w:r>
    </w:p>
    <w:p>
      <w:pPr>
        <w:pBdr>
          <w:bottom w:val="single" w:color="888888" w:sz="6" w:space="6"/>
        </w:pBdr>
        <w:spacing w:after="240"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institutional-grade dashboard for surveying private deal commitments across the Growth Circle stack. </w:t>
      </w:r>
      <w:r>
        <w:rPr>
          <w:rFonts w:ascii="Arial" w:cs="Arial" w:eastAsia="Arial" w:hAnsi="Arial"/>
          <w:sz w:val="22"/>
          <w:szCs w:val="22"/>
        </w:rPr>
        <w:t xml:space="preserve">Mirrors the APEX terminal aesthetic — dark institutional theme, amber accents, IBM Plex typography. All functionality runs locally in your browser.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What's in this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GC_Private_Markets_Dashboard.html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dashboard. Open in any modern browser.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GC_Investment_Tracker.xlsx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tracker spreadsheet — Investments + GC_Framework + CashFlow_Chart sheets.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SETUP_GUIDE.docx</w:t>
            </w:r>
          </w:p>
        </w:tc>
        <w:tc>
          <w:tcPr>
            <w:tcW w:type="dxa" w:w="62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document.</w:t>
            </w:r>
          </w:p>
        </w:tc>
      </w:tr>
    </w:tbl>
    <w:p>
      <w:pPr>
        <w:spacing w:after="120"/>
      </w:pPr>
    </w:p>
    <w:p>
      <w:pPr>
        <w:pBdr>
          <w:left w:val="single" w:color="AAAAAA" w:sz="16" w:space="8"/>
        </w:pBdr>
        <w:spacing w:after="180" w:before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note. </w:t>
      </w:r>
      <w:r>
        <w:rPr>
          <w:rFonts w:ascii="Arial" w:cs="Arial" w:eastAsia="Arial" w:hAnsi="Arial"/>
          <w:sz w:val="22"/>
          <w:szCs w:val="22"/>
        </w:rPr>
        <w:t xml:space="preserve">The dashboard runs entirely in your browser. Your spreadsheet data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leaves your computer</w:t>
      </w:r>
      <w:r>
        <w:rPr>
          <w:rFonts w:ascii="Arial" w:cs="Arial" w:eastAsia="Arial" w:hAnsi="Arial"/>
          <w:sz w:val="22"/>
          <w:szCs w:val="22"/>
        </w:rPr>
        <w:t xml:space="preserve"> — it is not uploaded to any server. The dashboard does load a small spreadsheet-parsing library (</w:t>
      </w:r>
      <w:r>
        <w:rPr>
          <w:rFonts w:ascii="Consolas" w:cs="Consolas" w:eastAsia="Consolas" w:hAnsi="Consolas"/>
          <w:sz w:val="20"/>
          <w:szCs w:val="20"/>
        </w:rPr>
        <w:t xml:space="preserve">xlsx.js</w:t>
      </w:r>
      <w:r>
        <w:rPr>
          <w:rFonts w:ascii="Arial" w:cs="Arial" w:eastAsia="Arial" w:hAnsi="Arial"/>
          <w:sz w:val="22"/>
          <w:szCs w:val="22"/>
        </w:rPr>
        <w:t xml:space="preserve">) from a public CDN on first open; after that, everything is local.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Quick start — 3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both files to the same folder</w:t>
      </w:r>
      <w:r>
        <w:rPr>
          <w:rFonts w:ascii="Arial" w:cs="Arial" w:eastAsia="Arial" w:hAnsi="Arial"/>
          <w:sz w:val="22"/>
          <w:szCs w:val="22"/>
        </w:rPr>
        <w:t xml:space="preserve"> on your computer.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GC_Investment_Tracker.xlsx</w:t>
      </w:r>
      <w:r>
        <w:rPr>
          <w:rFonts w:ascii="Arial" w:cs="Arial" w:eastAsia="Arial" w:hAnsi="Arial"/>
          <w:sz w:val="22"/>
          <w:szCs w:val="22"/>
        </w:rPr>
        <w:t xml:space="preserve"> in Excel, Numbers, or Google Sheets. You'll see eight tabs. The two you'll work with most: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Investments</w:t>
      </w:r>
      <w:r>
        <w:rPr>
          <w:rFonts w:ascii="Arial" w:cs="Arial" w:eastAsia="Arial" w:hAnsi="Arial"/>
          <w:sz w:val="22"/>
          <w:szCs w:val="22"/>
        </w:rPr>
        <w:t xml:space="preserve"> — your deal data (Asset Class, Portfolio Role, Commitment, Funded, etc.)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GC_Framework</w:t>
      </w:r>
      <w:r>
        <w:rPr>
          <w:rFonts w:ascii="Arial" w:cs="Arial" w:eastAsia="Arial" w:hAnsi="Arial"/>
          <w:sz w:val="22"/>
          <w:szCs w:val="22"/>
        </w:rPr>
        <w:t xml:space="preserve"> — your memo-derived qualitative fields (GC Score, R-Code, Conviction Tier, Killer Risk)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CashFlow_Chart</w:t>
      </w:r>
      <w:r>
        <w:rPr>
          <w:rFonts w:ascii="Arial" w:cs="Arial" w:eastAsia="Arial" w:hAnsi="Arial"/>
          <w:sz w:val="22"/>
          <w:szCs w:val="22"/>
        </w:rPr>
        <w:t xml:space="preserve"> tab is auto-populated and feeds the Capital Call panel; you can edit it manually if you have specific projection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file already contains a working example portfolio. Replace those rows with your own deals, or keep them as a template while you add your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the spreadsheet.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Double-click </w:t>
      </w:r>
      <w:r>
        <w:rPr>
          <w:rFonts w:ascii="Consolas" w:cs="Consolas" w:eastAsia="Consolas" w:hAnsi="Consolas"/>
          <w:sz w:val="20"/>
          <w:szCs w:val="20"/>
        </w:rPr>
        <w:t xml:space="preserve">GC_Private_Markets_Dashboard.html</w:t>
      </w:r>
      <w:r>
        <w:rPr>
          <w:rFonts w:ascii="Arial" w:cs="Arial" w:eastAsia="Arial" w:hAnsi="Arial"/>
          <w:sz w:val="22"/>
          <w:szCs w:val="22"/>
        </w:rPr>
        <w:t xml:space="preserve">. It opens in your default browser. You'll see a landing screen with seed data.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↻ Sync Tracker</w:t>
      </w:r>
      <w:r>
        <w:rPr>
          <w:rFonts w:ascii="Arial" w:cs="Arial" w:eastAsia="Arial" w:hAnsi="Arial"/>
          <w:sz w:val="22"/>
          <w:szCs w:val="22"/>
        </w:rPr>
        <w:t xml:space="preserve"> in the top-right.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Drag your </w:t>
      </w:r>
      <w:r>
        <w:rPr>
          <w:rFonts w:ascii="Consolas" w:cs="Consolas" w:eastAsia="Consolas" w:hAnsi="Consolas"/>
          <w:sz w:val="20"/>
          <w:szCs w:val="20"/>
        </w:rPr>
        <w:t xml:space="preserve">GC_Investment_Tracker.xlsx</w:t>
      </w:r>
      <w:r>
        <w:rPr>
          <w:rFonts w:ascii="Arial" w:cs="Arial" w:eastAsia="Arial" w:hAnsi="Arial"/>
          <w:sz w:val="22"/>
          <w:szCs w:val="22"/>
        </w:rPr>
        <w:t xml:space="preserve"> file</w:t>
      </w:r>
      <w:r>
        <w:rPr>
          <w:rFonts w:ascii="Arial" w:cs="Arial" w:eastAsia="Arial" w:hAnsi="Arial"/>
          <w:sz w:val="22"/>
          <w:szCs w:val="22"/>
        </w:rPr>
        <w:t xml:space="preserve"> onto the drop zone (or click to browse).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That's it. Your dashboard renders. Total elapsed time: about three minutes.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the dashboard shows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band. </w:t>
      </w:r>
      <w:r>
        <w:rPr>
          <w:rFonts w:ascii="Arial" w:cs="Arial" w:eastAsia="Arial" w:hAnsi="Arial"/>
          <w:sz w:val="22"/>
          <w:szCs w:val="22"/>
        </w:rPr>
        <w:t xml:space="preserve">APEX-styled black header with amber P logo, “Private Markets” title, sync status, and four action buttons.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 strip (6 metrics). </w:t>
      </w:r>
      <w:r>
        <w:rPr>
          <w:rFonts w:ascii="Arial" w:cs="Arial" w:eastAsia="Arial" w:hAnsi="Arial"/>
          <w:sz w:val="22"/>
          <w:szCs w:val="22"/>
        </w:rPr>
        <w:t xml:space="preserve">Committed (amber), Funded (with % of commit), Unfunded, Current Value, Distributions, MOIC. Recompute live as the underlying data changes.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alerts. </w:t>
      </w:r>
      <w:r>
        <w:rPr>
          <w:rFonts w:ascii="Arial" w:cs="Arial" w:eastAsia="Arial" w:hAnsi="Arial"/>
          <w:sz w:val="22"/>
          <w:szCs w:val="22"/>
        </w:rPr>
        <w:t xml:space="preserve">Concentration warnings (e.g. single-GP exposure exceeding the 20% guideline), unfunded obligation flags, R-code coverage gaps. Auto-detected from your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§ Allocation by Asset Class. </w:t>
      </w:r>
      <w:r>
        <w:rPr>
          <w:rFonts w:ascii="Arial" w:cs="Arial" w:eastAsia="Arial" w:hAnsi="Arial"/>
          <w:sz w:val="22"/>
          <w:szCs w:val="22"/>
        </w:rPr>
        <w:t xml:space="preserve">Multi-color donut chart with VC (purple), Private Equity (blue), Real Estate (green), Private Credit (amber). Center label shows total committed; legend below shows per-class committed dollars and percentage.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§ R-Code Coverage. </w:t>
      </w:r>
      <w:r>
        <w:rPr>
          <w:rFonts w:ascii="Arial" w:cs="Arial" w:eastAsia="Arial" w:hAnsi="Arial"/>
          <w:sz w:val="22"/>
          <w:szCs w:val="22"/>
        </w:rPr>
        <w:t xml:space="preserve">Five-Sleeve Architecture grid (R0–R9). Each role tile shows count + dollar amount. Optional R0/R1 context shows “via IRA A” external account data (cash and public equities).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§ Maturity &amp; Liquidity Ladder. </w:t>
      </w:r>
      <w:r>
        <w:rPr>
          <w:rFonts w:ascii="Arial" w:cs="Arial" w:eastAsia="Arial" w:hAnsi="Arial"/>
          <w:sz w:val="22"/>
          <w:szCs w:val="22"/>
        </w:rPr>
        <w:t xml:space="preserve">Horizontal bars showing each deal positioned at its expected return year, color-coded by asset class. Tells you at a glance which years your liquidity returns.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§ Capital Call &amp; Preferred Distribution Flow. </w:t>
      </w:r>
      <w:r>
        <w:rPr>
          <w:rFonts w:ascii="Arial" w:cs="Arial" w:eastAsia="Arial" w:hAnsi="Arial"/>
          <w:sz w:val="22"/>
          <w:szCs w:val="22"/>
        </w:rPr>
        <w:t xml:space="preserve">Quarterly bars showing capital calls (red, outflows) vs. preferred distributions (green, inflows). Past quarters render faded grey. Reads directly from the CashFlow_Chart sheet in your tracker.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§ Deal Cards. </w:t>
      </w:r>
      <w:r>
        <w:rPr>
          <w:rFonts w:ascii="Arial" w:cs="Arial" w:eastAsia="Arial" w:hAnsi="Arial"/>
          <w:sz w:val="22"/>
          <w:szCs w:val="22"/>
        </w:rPr>
        <w:t xml:space="preserve">Grouped by asset class (Private Credit → Real Estate → Private Equity → VC), with section totals on the right. Each card shows: GC Score badge, deal name, ID, R-code, account, status, vehicle, conviction tier, funded/committed bar, and either NEXT CALL, NEXT DIST, or PRIV_EXP RETURN. Click any card to expand its full detail (sponsor, sub-strategy, sizing range, killer risk, regret verdict, memo notes).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sync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spreadsheet is the source of truth. When you sync: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Investments sheet</w:t>
      </w:r>
      <w:r>
        <w:rPr>
          <w:rFonts w:ascii="Arial" w:cs="Arial" w:eastAsia="Arial" w:hAnsi="Arial"/>
          <w:sz w:val="22"/>
          <w:szCs w:val="22"/>
        </w:rPr>
        <w:t xml:space="preserve"> → deal rows (commitment, funded, status, etc.)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GC_Framework sheet</w:t>
      </w:r>
      <w:r>
        <w:rPr>
          <w:rFonts w:ascii="Arial" w:cs="Arial" w:eastAsia="Arial" w:hAnsi="Arial"/>
          <w:sz w:val="22"/>
          <w:szCs w:val="22"/>
        </w:rPr>
        <w:t xml:space="preserve"> → qualitative overlay (score, tier, killer risk, regret verdict)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CashFlow_Chart sheet</w:t>
      </w:r>
      <w:r>
        <w:rPr>
          <w:rFonts w:ascii="Arial" w:cs="Arial" w:eastAsia="Arial" w:hAnsi="Arial"/>
          <w:sz w:val="22"/>
          <w:szCs w:val="22"/>
        </w:rPr>
        <w:t xml:space="preserve"> → quarterly cash flow bars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Spreadsheet values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win</w:t>
      </w:r>
      <w:r>
        <w:rPr>
          <w:rFonts w:ascii="Arial" w:cs="Arial" w:eastAsia="Arial" w:hAnsi="Arial"/>
          <w:sz w:val="22"/>
          <w:szCs w:val="22"/>
        </w:rPr>
        <w:t xml:space="preserve"> for dollar amounts and status. Browser-side edits to memo fields like Killer Risk, Regret Check, Return Drivers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preserved</w:t>
      </w:r>
      <w:r>
        <w:rPr>
          <w:rFonts w:ascii="Arial" w:cs="Arial" w:eastAsia="Arial" w:hAnsi="Arial"/>
          <w:sz w:val="22"/>
          <w:szCs w:val="22"/>
        </w:rPr>
        <w:t xml:space="preserve"> as long as the spreadsheet doesn't override them.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save browser-side edits permanently: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↓ Export</w:t>
      </w:r>
      <w:r>
        <w:rPr>
          <w:rFonts w:ascii="Arial" w:cs="Arial" w:eastAsia="Arial" w:hAnsi="Arial"/>
          <w:sz w:val="22"/>
          <w:szCs w:val="22"/>
        </w:rPr>
        <w:t xml:space="preserve"> to write a JSON snapshot of your full dashboard state.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Common workflows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Quarterly portfolio review. </w:t>
      </w:r>
      <w:r>
        <w:rPr>
          <w:rFonts w:ascii="Arial" w:cs="Arial" w:eastAsia="Arial" w:hAnsi="Arial"/>
          <w:sz w:val="22"/>
          <w:szCs w:val="22"/>
        </w:rPr>
        <w:t xml:space="preserve">Update commitments and current values in the Investments sheet, save, sync. Print the dashboard (Ctrl+P / Cmd+P) for your records — the print stylesheet renders cleanly.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Adding a new deal mid-quarter. </w:t>
      </w:r>
      <w:r>
        <w:rPr>
          <w:rFonts w:ascii="Arial" w:cs="Arial" w:eastAsia="Arial" w:hAnsi="Arial"/>
          <w:sz w:val="22"/>
          <w:szCs w:val="22"/>
        </w:rPr>
        <w:t xml:space="preserve">Either (a) add a row to the Investments tab and re-sync, or (b)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Add Deal</w:t>
      </w:r>
      <w:r>
        <w:rPr>
          <w:rFonts w:ascii="Arial" w:cs="Arial" w:eastAsia="Arial" w:hAnsi="Arial"/>
          <w:sz w:val="22"/>
          <w:szCs w:val="22"/>
        </w:rPr>
        <w:t xml:space="preserve"> in the dashboard for a quick browser-side entry. Method (b) is faster for tracking research-stage deals you may not commit 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 iteration on an existing deal. </w:t>
      </w:r>
      <w:r>
        <w:rPr>
          <w:rFonts w:ascii="Arial" w:cs="Arial" w:eastAsia="Arial" w:hAnsi="Arial"/>
          <w:sz w:val="22"/>
          <w:szCs w:val="22"/>
        </w:rPr>
        <w:t xml:space="preserve">Add or update the row in the GC_Framework tab — you can paste the killer risk paragraph directly. Re-sync. The deal's expanded card now shows the memo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Sharing a snapshot. </w:t>
      </w:r>
      <w:r>
        <w:rPr>
          <w:rFonts w:ascii="Arial" w:cs="Arial" w:eastAsia="Arial" w:hAnsi="Arial"/>
          <w:sz w:val="22"/>
          <w:szCs w:val="22"/>
        </w:rPr>
        <w:t xml:space="preserve">Use Ctrl/Cmd+P to print to PDF. The print stylesheet strips action buttons and modals; the layout is paginated and clean.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Tips &amp; gotchas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 compatibility. </w:t>
      </w:r>
      <w:r>
        <w:rPr>
          <w:rFonts w:ascii="Arial" w:cs="Arial" w:eastAsia="Arial" w:hAnsi="Arial"/>
          <w:sz w:val="22"/>
          <w:szCs w:val="22"/>
        </w:rPr>
        <w:t xml:space="preserve">Tested in Chrome, Edge, Firefox, and Safari. Works on Mac, Windows, Linux, iPad. Doesn't work well on phones — too narrow.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values. </w:t>
      </w:r>
      <w:r>
        <w:rPr>
          <w:rFonts w:ascii="Arial" w:cs="Arial" w:eastAsia="Arial" w:hAnsi="Arial"/>
          <w:sz w:val="22"/>
          <w:szCs w:val="22"/>
        </w:rPr>
        <w:t xml:space="preserve">The dashboard normalizes “SD-IRA” and “SDIRA” so it doesn't matter which spelling you use in the spreadsheet.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Reset. </w:t>
      </w:r>
      <w:r>
        <w:rPr>
          <w:rFonts w:ascii="Arial" w:cs="Arial" w:eastAsia="Arial" w:hAnsi="Arial"/>
          <w:sz w:val="22"/>
          <w:szCs w:val="22"/>
        </w:rPr>
        <w:t xml:space="preserve">If your browser-side state gets out of sync with your spreadsheet (e.g. you imported the wrong file), open browser DevTools → Application → Local Storage → delete </w:t>
      </w:r>
      <w:r>
        <w:rPr>
          <w:rFonts w:ascii="Consolas" w:cs="Consolas" w:eastAsia="Consolas" w:hAnsi="Consolas"/>
          <w:sz w:val="20"/>
          <w:szCs w:val="20"/>
        </w:rPr>
        <w:t xml:space="preserve">gc_privmkt_v2</w:t>
      </w:r>
      <w:r>
        <w:rPr>
          <w:rFonts w:ascii="Arial" w:cs="Arial" w:eastAsia="Arial" w:hAnsi="Arial"/>
          <w:sz w:val="22"/>
          <w:szCs w:val="22"/>
        </w:rPr>
        <w:t xml:space="preserve">. Then refresh the page and re-sync.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Need internet? </w:t>
      </w:r>
      <w:r>
        <w:rPr>
          <w:rFonts w:ascii="Arial" w:cs="Arial" w:eastAsia="Arial" w:hAnsi="Arial"/>
          <w:sz w:val="22"/>
          <w:szCs w:val="22"/>
        </w:rPr>
        <w:t xml:space="preserve">Just for the first open (to fetch the parsing library). After that, you can run offline.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R0/R1 IRA-A context cells </w:t>
      </w:r>
      <w:r>
        <w:rPr>
          <w:rFonts w:ascii="Arial" w:cs="Arial" w:eastAsia="Arial" w:hAnsi="Arial"/>
          <w:sz w:val="22"/>
          <w:szCs w:val="22"/>
        </w:rPr>
        <w:t xml:space="preserve">are seeded with example values ($223,031 cash, 25 positions). To remove or customize these for your own portfolio, edit the </w:t>
      </w:r>
      <w:r>
        <w:rPr>
          <w:rFonts w:ascii="Consolas" w:cs="Consolas" w:eastAsia="Consolas" w:hAnsi="Consolas"/>
          <w:sz w:val="20"/>
          <w:szCs w:val="20"/>
        </w:rPr>
        <w:t xml:space="preserve">context</w:t>
      </w:r>
      <w:r>
        <w:rPr>
          <w:rFonts w:ascii="Arial" w:cs="Arial" w:eastAsia="Arial" w:hAnsi="Arial"/>
          <w:sz w:val="22"/>
          <w:szCs w:val="22"/>
        </w:rPr>
        <w:t xml:space="preserve"> block at the top of the JavaScript section of the HTML file. Future versions will expose this in a settings panel.</w:t>
      </w:r>
    </w:p>
    <w:p>
      <w:pPr>
        <w:pBdr>
          <w:bottom w:val="single" w:color="888888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Where to get help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something's broken or you have ideas for what to add, post in the Growth Circle forum thread where you found this, or reach out directly.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Future versions may include: portfolio-level risk flag automation (vintage stacking, single-deal concentration), cash flow sensitivity ranges, comparison vs. public market beta, exportable PDF reports.</w:t>
      </w:r>
    </w:p>
    <w:p>
      <w:pPr>
        <w:pBdr>
          <w:bottom w:val="single" w:color="888888" w:sz="6" w:space="6"/>
        </w:pBdr>
        <w:spacing w:after="240" w:before="12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dashboard is a tracking and visualization tool. It is not investment, tax, or legal advice. The information you see is only as good as what you've entered. All investment decisions remain yours alone.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Private Markets Dashboard — Setup Guide</dc:title>
  <dc:creator>Growth Circle</dc:creator>
  <cp:lastModifiedBy>Un-named</cp:lastModifiedBy>
  <cp:revision>1</cp:revision>
  <dcterms:created xsi:type="dcterms:W3CDTF">2026-04-26T22:15:15.136Z</dcterms:created>
  <dcterms:modified xsi:type="dcterms:W3CDTF">2026-04-26T22:15:15.151Z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