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555555"/>
          <w:sz w:val="32"/>
          <w:szCs w:val="32"/>
        </w:rPr>
        <w:t xml:space="preserve">GC Investment Tracker</w:t>
      </w:r>
    </w:p>
    <w:p>
      <w:pPr>
        <w:spacing w:after="200"/>
        <w:jc w:val="center"/>
      </w:pPr>
      <w:r>
        <w:rPr>
          <w:rFonts w:ascii="Arial" w:cs="Arial" w:eastAsia="Arial" w:hAnsi="Arial"/>
          <w:b/>
          <w:bCs/>
          <w:color w:val="1A1A1A"/>
          <w:sz w:val="44"/>
          <w:szCs w:val="44"/>
        </w:rPr>
        <w:t xml:space="preserve">Step-by-Step User Guide</w:t>
      </w:r>
    </w:p>
    <w:p>
      <w:pPr>
        <w:spacing w:after="360"/>
        <w:jc w:val="center"/>
      </w:pPr>
      <w:r>
        <w:rPr>
          <w:rFonts w:ascii="Arial" w:cs="Arial" w:eastAsia="Arial" w:hAnsi="Arial"/>
          <w:i/>
          <w:iCs/>
          <w:color w:val="555555"/>
          <w:sz w:val="24"/>
          <w:szCs w:val="24"/>
        </w:rPr>
        <w:t xml:space="preserve">How to enter your first deal without breaking anything</w:t>
      </w:r>
    </w:p>
    <w:p>
      <w:pPr>
        <w:pBdr>
          <w:bottom w:val="single" w:color="888888" w:sz="6" w:space="6"/>
        </w:pBdr>
        <w:spacing w:after="240" w:before="120"/>
      </w:pPr>
    </w:p>
    <w:p>
      <w:pPr>
        <w:spacing w:after="120"/>
      </w:pPr>
      <w:r>
        <w:rPr>
          <w:rFonts w:ascii="Arial" w:cs="Arial" w:eastAsia="Arial" w:hAnsi="Arial"/>
          <w:sz w:val="22"/>
          <w:szCs w:val="22"/>
        </w:rPr>
        <w:t xml:space="preserve">This guide walks you through entering your private market investments into the tracker, end to end. It covers how to clean out the example data without breaking the formulas, how to fill in your first deal across all three working tabs, and how to verify your dashboard rendered correctly. </w:t>
      </w:r>
      <w:r>
        <w:rPr>
          <w:rFonts w:ascii="Arial" w:cs="Arial" w:eastAsia="Arial" w:hAnsi="Arial"/>
          <w:b/>
          <w:bCs/>
          <w:sz w:val="22"/>
          <w:szCs w:val="22"/>
        </w:rPr>
        <w:t xml:space="preserve">Time to your first synced deal: about 8 minutes.</w:t>
      </w:r>
    </w:p>
    <w:p>
      <w:pPr>
        <w:pBdr>
          <w:bottom w:val="single" w:color="888888" w:sz="6" w:space="6"/>
        </w:pBdr>
        <w:spacing w:after="240" w:before="120"/>
      </w:pPr>
    </w:p>
    <w:p>
      <w:pPr>
        <w:pStyle w:val="Heading1"/>
        <w:spacing w:after="180" w:before="360"/>
      </w:pPr>
      <w:r>
        <w:rPr>
          <w:rFonts w:ascii="Arial" w:cs="Arial" w:eastAsia="Arial" w:hAnsi="Arial"/>
          <w:b/>
          <w:bCs/>
          <w:color w:val="1A1A1A"/>
          <w:sz w:val="32"/>
          <w:szCs w:val="32"/>
        </w:rPr>
        <w:t xml:space="preserve">1 — Before you start</w:t>
      </w:r>
    </w:p>
    <w:p>
      <w:pPr>
        <w:spacing w:after="120"/>
      </w:pPr>
      <w:r>
        <w:rPr>
          <w:rFonts w:ascii="Arial" w:cs="Arial" w:eastAsia="Arial" w:hAnsi="Arial"/>
          <w:sz w:val="22"/>
          <w:szCs w:val="22"/>
        </w:rPr>
        <w:t xml:space="preserve">Three things to know before you open the file:</w:t>
      </w:r>
    </w:p>
    <w:p>
      <w:pPr>
        <w:pStyle w:val="Heading2"/>
        <w:spacing w:after="140" w:before="280"/>
      </w:pPr>
      <w:r>
        <w:rPr>
          <w:rFonts w:ascii="Arial" w:cs="Arial" w:eastAsia="Arial" w:hAnsi="Arial"/>
          <w:b/>
          <w:bCs/>
          <w:color w:val="1A1A1A"/>
          <w:sz w:val="26"/>
          <w:szCs w:val="26"/>
        </w:rPr>
        <w:t xml:space="preserve">1.1 — The three tabs that matter</w:t>
      </w:r>
    </w:p>
    <w:p>
      <w:pPr>
        <w:spacing w:after="120"/>
      </w:pPr>
      <w:r>
        <w:rPr>
          <w:rFonts w:ascii="Arial" w:cs="Arial" w:eastAsia="Arial" w:hAnsi="Arial"/>
          <w:sz w:val="22"/>
          <w:szCs w:val="22"/>
        </w:rPr>
        <w:t xml:space="preserve">The tracker has 8 tabs total, but only </w:t>
      </w:r>
      <w:r>
        <w:rPr>
          <w:rFonts w:ascii="Arial" w:cs="Arial" w:eastAsia="Arial" w:hAnsi="Arial"/>
          <w:b/>
          <w:bCs/>
          <w:sz w:val="22"/>
          <w:szCs w:val="22"/>
        </w:rPr>
        <w:t xml:space="preserve">three</w:t>
      </w:r>
      <w:r>
        <w:rPr>
          <w:rFonts w:ascii="Arial" w:cs="Arial" w:eastAsia="Arial" w:hAnsi="Arial"/>
          <w:sz w:val="22"/>
          <w:szCs w:val="22"/>
        </w:rPr>
        <w:t xml:space="preserve"> need your input:</w:t>
      </w:r>
    </w:p>
    <w:p>
      <w:pPr>
        <w:pStyle w:val="ListParagraph"/>
        <w:numPr>
          <w:ilvl w:val="0"/>
          <w:numId w:val="2"/>
        </w:numPr>
        <w:spacing w:after="80"/>
      </w:pPr>
      <w:r>
        <w:rPr>
          <w:rFonts w:ascii="Arial" w:cs="Arial" w:eastAsia="Arial" w:hAnsi="Arial"/>
          <w:b/>
          <w:bCs/>
          <w:sz w:val="22"/>
          <w:szCs w:val="22"/>
        </w:rPr>
        <w:t xml:space="preserve">Investments</w:t>
      </w:r>
      <w:r>
        <w:rPr>
          <w:rFonts w:ascii="Arial" w:cs="Arial" w:eastAsia="Arial" w:hAnsi="Arial"/>
          <w:sz w:val="22"/>
          <w:szCs w:val="22"/>
        </w:rPr>
        <w:t xml:space="preserve"> — one row per deal. Names, amounts, dates, MOIC targets.</w:t>
      </w:r>
    </w:p>
    <w:p>
      <w:pPr>
        <w:pStyle w:val="ListParagraph"/>
        <w:numPr>
          <w:ilvl w:val="0"/>
          <w:numId w:val="2"/>
        </w:numPr>
        <w:spacing w:after="80"/>
      </w:pPr>
      <w:r>
        <w:rPr>
          <w:rFonts w:ascii="Arial" w:cs="Arial" w:eastAsia="Arial" w:hAnsi="Arial"/>
          <w:b/>
          <w:bCs/>
          <w:sz w:val="22"/>
          <w:szCs w:val="22"/>
        </w:rPr>
        <w:t xml:space="preserve">GC_Framework</w:t>
      </w:r>
      <w:r>
        <w:rPr>
          <w:rFonts w:ascii="Arial" w:cs="Arial" w:eastAsia="Arial" w:hAnsi="Arial"/>
          <w:sz w:val="22"/>
          <w:szCs w:val="22"/>
        </w:rPr>
        <w:t xml:space="preserve"> — qualitative scoring per deal (R-code, conviction tier, killer risk).</w:t>
      </w:r>
    </w:p>
    <w:p>
      <w:pPr>
        <w:pStyle w:val="ListParagraph"/>
        <w:numPr>
          <w:ilvl w:val="0"/>
          <w:numId w:val="2"/>
        </w:numPr>
        <w:spacing w:after="80"/>
      </w:pPr>
      <w:r>
        <w:rPr>
          <w:rFonts w:ascii="Arial" w:cs="Arial" w:eastAsia="Arial" w:hAnsi="Arial"/>
          <w:b/>
          <w:bCs/>
          <w:sz w:val="22"/>
          <w:szCs w:val="22"/>
        </w:rPr>
        <w:t xml:space="preserve">CashFlows</w:t>
      </w:r>
      <w:r>
        <w:rPr>
          <w:rFonts w:ascii="Arial" w:cs="Arial" w:eastAsia="Arial" w:hAnsi="Arial"/>
          <w:sz w:val="22"/>
          <w:szCs w:val="22"/>
        </w:rPr>
        <w:t xml:space="preserve"> — one row per cashflow event (capital call, distribution, fee).</w:t>
      </w:r>
    </w:p>
    <w:p>
      <w:pPr>
        <w:spacing w:after="120"/>
      </w:pPr>
      <w:r>
        <w:rPr>
          <w:rFonts w:ascii="Arial" w:cs="Arial" w:eastAsia="Arial" w:hAnsi="Arial"/>
          <w:sz w:val="22"/>
          <w:szCs w:val="22"/>
        </w:rPr>
        <w:t xml:space="preserve">The other five tabs (</w:t>
      </w:r>
      <w:r>
        <w:rPr>
          <w:rFonts w:ascii="Consolas" w:cs="Consolas" w:eastAsia="Consolas" w:hAnsi="Consolas"/>
          <w:sz w:val="20"/>
          <w:szCs w:val="20"/>
        </w:rPr>
        <w:t xml:space="preserve">Pivot_Summary</w:t>
      </w:r>
      <w:r>
        <w:rPr>
          <w:rFonts w:ascii="Arial" w:cs="Arial" w:eastAsia="Arial" w:hAnsi="Arial"/>
          <w:sz w:val="22"/>
          <w:szCs w:val="22"/>
        </w:rPr>
        <w:t xml:space="preserve">, </w:t>
      </w:r>
      <w:r>
        <w:rPr>
          <w:rFonts w:ascii="Consolas" w:cs="Consolas" w:eastAsia="Consolas" w:hAnsi="Consolas"/>
          <w:sz w:val="20"/>
          <w:szCs w:val="20"/>
        </w:rPr>
        <w:t xml:space="preserve">Dashboard</w:t>
      </w:r>
      <w:r>
        <w:rPr>
          <w:rFonts w:ascii="Arial" w:cs="Arial" w:eastAsia="Arial" w:hAnsi="Arial"/>
          <w:sz w:val="22"/>
          <w:szCs w:val="22"/>
        </w:rPr>
        <w:t xml:space="preserve">, </w:t>
      </w:r>
      <w:r>
        <w:rPr>
          <w:rFonts w:ascii="Consolas" w:cs="Consolas" w:eastAsia="Consolas" w:hAnsi="Consolas"/>
          <w:sz w:val="20"/>
          <w:szCs w:val="20"/>
        </w:rPr>
        <w:t xml:space="preserve">Lists</w:t>
      </w:r>
      <w:r>
        <w:rPr>
          <w:rFonts w:ascii="Arial" w:cs="Arial" w:eastAsia="Arial" w:hAnsi="Arial"/>
          <w:sz w:val="22"/>
          <w:szCs w:val="22"/>
        </w:rPr>
        <w:t xml:space="preserve">, </w:t>
      </w:r>
      <w:r>
        <w:rPr>
          <w:rFonts w:ascii="Consolas" w:cs="Consolas" w:eastAsia="Consolas" w:hAnsi="Consolas"/>
          <w:sz w:val="20"/>
          <w:szCs w:val="20"/>
        </w:rPr>
        <w:t xml:space="preserve">CashFlow_Chart</w:t>
      </w:r>
      <w:r>
        <w:rPr>
          <w:rFonts w:ascii="Arial" w:cs="Arial" w:eastAsia="Arial" w:hAnsi="Arial"/>
          <w:sz w:val="22"/>
          <w:szCs w:val="22"/>
        </w:rPr>
        <w:t xml:space="preserve">, </w:t>
      </w:r>
      <w:r>
        <w:rPr>
          <w:rFonts w:ascii="Consolas" w:cs="Consolas" w:eastAsia="Consolas" w:hAnsi="Consolas"/>
          <w:sz w:val="20"/>
          <w:szCs w:val="20"/>
        </w:rPr>
        <w:t xml:space="preserve">Instructions</w:t>
      </w:r>
      <w:r>
        <w:rPr>
          <w:rFonts w:ascii="Arial" w:cs="Arial" w:eastAsia="Arial" w:hAnsi="Arial"/>
          <w:sz w:val="22"/>
          <w:szCs w:val="22"/>
        </w:rPr>
        <w:t xml:space="preserve">) are auto-calculated reference tabs. You don't touch them.</w:t>
      </w:r>
    </w:p>
    <w:p>
      <w:pPr>
        <w:pStyle w:val="Heading2"/>
        <w:spacing w:after="140" w:before="280"/>
      </w:pPr>
      <w:r>
        <w:rPr>
          <w:rFonts w:ascii="Arial" w:cs="Arial" w:eastAsia="Arial" w:hAnsi="Arial"/>
          <w:b/>
          <w:bCs/>
          <w:color w:val="1A1A1A"/>
          <w:sz w:val="26"/>
          <w:szCs w:val="26"/>
        </w:rPr>
        <w:t xml:space="preserve">1.2 — How the cell colors work</w:t>
      </w:r>
    </w:p>
    <w:p>
      <w:pPr>
        <w:spacing w:after="120"/>
      </w:pPr>
      <w:r>
        <w:rPr>
          <w:rFonts w:ascii="Arial" w:cs="Arial" w:eastAsia="Arial" w:hAnsi="Arial"/>
          <w:sz w:val="22"/>
          <w:szCs w:val="22"/>
        </w:rPr>
        <w:t xml:space="preserve">Every data cell on the three input tabs is color-coded: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pPr>
              <w:jc w:val="center"/>
            </w:pPr>
            <w:r>
              <w:rPr>
                <w:rFonts w:ascii="Arial" w:cs="Arial" w:eastAsia="Arial" w:hAnsi="Arial"/>
                <w:b/>
                <w:bCs/>
                <w:color w:val="333333"/>
                <w:sz w:val="20"/>
                <w:szCs w:val="20"/>
              </w:rPr>
              <w:t xml:space="preserve">Yellow</w:t>
            </w:r>
          </w:p>
        </w:tc>
        <w:tc>
          <w:tcPr>
            <w:tcW w:type="dxa" w:w="756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b/>
                <w:bCs/>
                <w:sz w:val="22"/>
                <w:szCs w:val="22"/>
              </w:rPr>
              <w:t xml:space="preserve">Enter your data here. </w:t>
            </w:r>
            <w:r>
              <w:rPr>
                <w:rFonts w:ascii="Arial" w:cs="Arial" w:eastAsia="Arial" w:hAnsi="Arial"/>
                <w:sz w:val="22"/>
                <w:szCs w:val="22"/>
              </w:rPr>
              <w:t xml:space="preserve">Names, dollar amounts, dates, dropdown selections.</w:t>
            </w:r>
          </w:p>
        </w:tc>
      </w:tr>
      <w:tr>
        <w:tc>
          <w:tcPr>
            <w:tcW w:type="dxa" w:w="1800"/>
            <w:tcBorders>
              <w:top w:val="single" w:color="BBBBBB" w:sz="4"/>
              <w:left w:val="single" w:color="BBBBBB" w:sz="4"/>
              <w:bottom w:val="single" w:color="BBBBBB" w:sz="4"/>
              <w:right w:val="single" w:color="BBBBBB" w:sz="4"/>
            </w:tcBorders>
            <w:shd w:fill="ECECEC" w:val="clear"/>
            <w:tcMar>
              <w:top w:type="dxa" w:w="80"/>
              <w:left w:type="dxa" w:w="100"/>
              <w:bottom w:type="dxa" w:w="80"/>
              <w:right w:type="dxa" w:w="100"/>
            </w:tcMar>
          </w:tcPr>
          <w:p>
            <w:pPr>
              <w:jc w:val="center"/>
            </w:pPr>
            <w:r>
              <w:rPr>
                <w:rFonts w:ascii="Arial" w:cs="Arial" w:eastAsia="Arial" w:hAnsi="Arial"/>
                <w:b/>
                <w:bCs/>
                <w:color w:val="333333"/>
                <w:sz w:val="20"/>
                <w:szCs w:val="20"/>
              </w:rPr>
              <w:t xml:space="preserve">Grey</w:t>
            </w:r>
          </w:p>
        </w:tc>
        <w:tc>
          <w:tcPr>
            <w:tcW w:type="dxa" w:w="756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b/>
                <w:bCs/>
                <w:sz w:val="22"/>
                <w:szCs w:val="22"/>
              </w:rPr>
              <w:t xml:space="preserve">Auto-calculated, do not edit. </w:t>
            </w:r>
            <w:r>
              <w:rPr>
                <w:rFonts w:ascii="Arial" w:cs="Arial" w:eastAsia="Arial" w:hAnsi="Arial"/>
                <w:sz w:val="22"/>
                <w:szCs w:val="22"/>
              </w:rPr>
              <w:t xml:space="preserve">These cells are locked. They contain formulas like Unfunded = Commitment − Funded, and Total Value = Current Value + Distributions.</w:t>
            </w:r>
          </w:p>
        </w:tc>
      </w:tr>
      <w:tr>
        <w:tc>
          <w:tcPr>
            <w:tcW w:type="dxa" w:w="1800"/>
            <w:tcBorders>
              <w:top w:val="single" w:color="BBBBBB" w:sz="4"/>
              <w:left w:val="single" w:color="BBBBBB" w:sz="4"/>
              <w:bottom w:val="single" w:color="BBBBBB" w:sz="4"/>
              <w:right w:val="single" w:color="BBBBBB" w:sz="4"/>
            </w:tcBorders>
            <w:shd w:fill="E8F4E0" w:val="clear"/>
            <w:tcMar>
              <w:top w:type="dxa" w:w="80"/>
              <w:left w:type="dxa" w:w="100"/>
              <w:bottom w:type="dxa" w:w="80"/>
              <w:right w:type="dxa" w:w="100"/>
            </w:tcMar>
          </w:tcPr>
          <w:p>
            <w:pPr>
              <w:jc w:val="center"/>
            </w:pPr>
            <w:r>
              <w:rPr>
                <w:rFonts w:ascii="Arial" w:cs="Arial" w:eastAsia="Arial" w:hAnsi="Arial"/>
                <w:b/>
                <w:bCs/>
                <w:color w:val="333333"/>
                <w:sz w:val="20"/>
                <w:szCs w:val="20"/>
              </w:rPr>
              <w:t xml:space="preserve">Green</w:t>
            </w:r>
          </w:p>
        </w:tc>
        <w:tc>
          <w:tcPr>
            <w:tcW w:type="dxa" w:w="756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b/>
                <w:bCs/>
                <w:sz w:val="22"/>
                <w:szCs w:val="22"/>
              </w:rPr>
              <w:t xml:space="preserve">Optional but recommended. </w:t>
            </w:r>
            <w:r>
              <w:rPr>
                <w:rFonts w:ascii="Arial" w:cs="Arial" w:eastAsia="Arial" w:hAnsi="Arial"/>
                <w:sz w:val="22"/>
                <w:szCs w:val="22"/>
              </w:rPr>
              <w:t xml:space="preserve">Notes, contact info — useful for your own records, not required for the dashboard.</w:t>
            </w:r>
          </w:p>
        </w:tc>
      </w:tr>
    </w:tbl>
    <w:p>
      <w:pPr>
        <w:spacing w:after="120"/>
      </w:pPr>
    </w:p>
    <w:p>
      <w:pPr>
        <w:pBdr>
          <w:left w:val="single" w:color="4A7B3A" w:sz="16" w:space="8"/>
        </w:pBdr>
        <w:spacing w:after="180" w:before="120"/>
        <w:ind w:left="360"/>
      </w:pPr>
      <w:r>
        <w:rPr>
          <w:rFonts w:ascii="Arial" w:cs="Arial" w:eastAsia="Arial" w:hAnsi="Arial"/>
          <w:b/>
          <w:bCs/>
          <w:color w:val="4A7B3A"/>
          <w:sz w:val="22"/>
          <w:szCs w:val="22"/>
        </w:rPr>
        <w:t xml:space="preserve">Tip. </w:t>
      </w:r>
      <w:r>
        <w:rPr>
          <w:rFonts w:ascii="Arial" w:cs="Arial" w:eastAsia="Arial" w:hAnsi="Arial"/>
          <w:sz w:val="22"/>
          <w:szCs w:val="22"/>
        </w:rPr>
        <w:t xml:space="preserve">If you try to type into a grey cell and Excel says "the cell or chart you're trying to change is on a protected sheet," that's the protection working as designed. You almost never want to edit a grey cell. If you really do, go to </w:t>
      </w:r>
      <w:r>
        <w:rPr>
          <w:rFonts w:ascii="Arial" w:cs="Arial" w:eastAsia="Arial" w:hAnsi="Arial"/>
          <w:b/>
          <w:bCs/>
          <w:sz w:val="22"/>
          <w:szCs w:val="22"/>
        </w:rPr>
        <w:t xml:space="preserve">Review → Unprotect Sheet</w:t>
      </w:r>
      <w:r>
        <w:rPr>
          <w:rFonts w:ascii="Arial" w:cs="Arial" w:eastAsia="Arial" w:hAnsi="Arial"/>
          <w:sz w:val="22"/>
          <w:szCs w:val="22"/>
        </w:rPr>
        <w:t xml:space="preserve"> — no password needed.</w:t>
      </w:r>
    </w:p>
    <w:p>
      <w:pPr>
        <w:pStyle w:val="Heading2"/>
        <w:spacing w:after="140" w:before="280"/>
      </w:pPr>
      <w:r>
        <w:rPr>
          <w:rFonts w:ascii="Arial" w:cs="Arial" w:eastAsia="Arial" w:hAnsi="Arial"/>
          <w:b/>
          <w:bCs/>
          <w:color w:val="1A1A1A"/>
          <w:sz w:val="26"/>
          <w:szCs w:val="26"/>
        </w:rPr>
        <w:t xml:space="preserve">1.3 — The two rules that prevent most problems</w:t>
      </w:r>
    </w:p>
    <w:p>
      <w:pPr>
        <w:spacing w:after="120"/>
      </w:pPr>
      <w:r>
        <w:rPr>
          <w:rFonts w:ascii="Arial" w:cs="Arial" w:eastAsia="Arial" w:hAnsi="Arial"/>
          <w:b/>
          <w:bCs/>
          <w:sz w:val="22"/>
          <w:szCs w:val="22"/>
        </w:rPr>
        <w:t xml:space="preserve">Rule 1: Never delete a row.</w:t>
      </w:r>
      <w:r>
        <w:rPr>
          <w:rFonts w:ascii="Arial" w:cs="Arial" w:eastAsia="Arial" w:hAnsi="Arial"/>
          <w:sz w:val="22"/>
          <w:szCs w:val="22"/>
        </w:rPr>
        <w:t xml:space="preserve"> Use </w:t>
      </w:r>
      <w:r>
        <w:rPr>
          <w:rFonts w:ascii="Arial" w:cs="Arial" w:eastAsia="Arial" w:hAnsi="Arial"/>
          <w:b/>
          <w:bCs/>
          <w:sz w:val="22"/>
          <w:szCs w:val="22"/>
        </w:rPr>
        <w:t xml:space="preserve">Clear Contents</w:t>
      </w:r>
      <w:r>
        <w:rPr>
          <w:rFonts w:ascii="Arial" w:cs="Arial" w:eastAsia="Arial" w:hAnsi="Arial"/>
          <w:sz w:val="22"/>
          <w:szCs w:val="22"/>
        </w:rPr>
        <w:t xml:space="preserve"> instead. Right-click the row number → </w:t>
      </w:r>
      <w:r>
        <w:rPr>
          <w:rFonts w:ascii="Arial" w:cs="Arial" w:eastAsia="Arial" w:hAnsi="Arial"/>
          <w:b/>
          <w:bCs/>
          <w:sz w:val="22"/>
          <w:szCs w:val="22"/>
        </w:rPr>
        <w:t xml:space="preserve">Clear Contents</w:t>
      </w:r>
      <w:r>
        <w:rPr>
          <w:rFonts w:ascii="Arial" w:cs="Arial" w:eastAsia="Arial" w:hAnsi="Arial"/>
          <w:sz w:val="22"/>
          <w:szCs w:val="22"/>
        </w:rPr>
        <w:t xml:space="preserve">. This empties the cells but keeps the formulas intact for next time.</w:t>
      </w:r>
    </w:p>
    <w:p>
      <w:pPr>
        <w:spacing w:after="120"/>
      </w:pPr>
      <w:r>
        <w:rPr>
          <w:rFonts w:ascii="Arial" w:cs="Arial" w:eastAsia="Arial" w:hAnsi="Arial"/>
          <w:b/>
          <w:bCs/>
          <w:sz w:val="22"/>
          <w:szCs w:val="22"/>
        </w:rPr>
        <w:t xml:space="preserve">Rule 2: Never change a Deal ID once you've created it.</w:t>
      </w:r>
      <w:r>
        <w:rPr>
          <w:rFonts w:ascii="Arial" w:cs="Arial" w:eastAsia="Arial" w:hAnsi="Arial"/>
          <w:sz w:val="22"/>
          <w:szCs w:val="22"/>
        </w:rPr>
        <w:t xml:space="preserve"> The Deal ID in column A of the Investments sheet is the link key. The GC_Framework sheet uses it to find each deal's qualitative data, and the dashboard relies on it to match everything up. Pick a Deal ID once, keep it forever.</w:t>
      </w:r>
    </w:p>
    <w:p>
      <w:pPr>
        <w:pBdr>
          <w:bottom w:val="single" w:color="888888" w:sz="6" w:space="6"/>
        </w:pBdr>
        <w:spacing w:after="240" w:before="120"/>
      </w:pPr>
    </w:p>
    <w:p>
      <w:pPr>
        <w:pStyle w:val="Heading1"/>
        <w:spacing w:after="180" w:before="360"/>
      </w:pPr>
      <w:r>
        <w:rPr>
          <w:rFonts w:ascii="Arial" w:cs="Arial" w:eastAsia="Arial" w:hAnsi="Arial"/>
          <w:b/>
          <w:bCs/>
          <w:color w:val="1A1A1A"/>
          <w:sz w:val="32"/>
          <w:szCs w:val="32"/>
        </w:rPr>
        <w:t xml:space="preserve">2 — Clean out the example data (2 minutes)</w:t>
      </w:r>
    </w:p>
    <w:p>
      <w:pPr>
        <w:spacing w:after="120"/>
      </w:pPr>
      <w:r>
        <w:rPr>
          <w:rFonts w:ascii="Arial" w:cs="Arial" w:eastAsia="Arial" w:hAnsi="Arial"/>
          <w:sz w:val="22"/>
          <w:szCs w:val="22"/>
        </w:rPr>
        <w:t xml:space="preserve">The tracker ships with 12 example deals so you can see how everything connects. To start with your own data, you'll clear the example rows on three tabs.</w:t>
      </w:r>
    </w:p>
    <w:p>
      <w:pPr>
        <w:pStyle w:val="Heading2"/>
        <w:spacing w:after="140" w:before="280"/>
      </w:pPr>
      <w:r>
        <w:rPr>
          <w:rFonts w:ascii="Arial" w:cs="Arial" w:eastAsia="Arial" w:hAnsi="Arial"/>
          <w:b/>
          <w:bCs/>
          <w:color w:val="1A1A1A"/>
          <w:sz w:val="26"/>
          <w:szCs w:val="26"/>
        </w:rPr>
        <w:t xml:space="preserve">2.1 — Investments tab</w:t>
      </w:r>
    </w:p>
    <w:p>
      <w:pPr>
        <w:pStyle w:val="ListParagraph"/>
        <w:numPr>
          <w:ilvl w:val="0"/>
          <w:numId w:val="3"/>
        </w:numPr>
        <w:spacing w:after="100"/>
      </w:pPr>
      <w:r>
        <w:rPr>
          <w:rFonts w:ascii="Arial" w:cs="Arial" w:eastAsia="Arial" w:hAnsi="Arial"/>
          <w:sz w:val="22"/>
          <w:szCs w:val="22"/>
        </w:rPr>
        <w:t xml:space="preserve">Click on the Investments tab.</w:t>
      </w:r>
    </w:p>
    <w:p>
      <w:pPr>
        <w:pStyle w:val="ListParagraph"/>
        <w:numPr>
          <w:ilvl w:val="0"/>
          <w:numId w:val="3"/>
        </w:numPr>
        <w:spacing w:after="100"/>
      </w:pPr>
      <w:r>
        <w:rPr>
          <w:rFonts w:ascii="Arial" w:cs="Arial" w:eastAsia="Arial" w:hAnsi="Arial"/>
          <w:sz w:val="22"/>
          <w:szCs w:val="22"/>
        </w:rPr>
        <w:t xml:space="preserve">Click row number </w:t>
      </w:r>
      <w:r>
        <w:rPr>
          <w:rFonts w:ascii="Arial" w:cs="Arial" w:eastAsia="Arial" w:hAnsi="Arial"/>
          <w:b/>
          <w:bCs/>
          <w:sz w:val="22"/>
          <w:szCs w:val="22"/>
        </w:rPr>
        <w:t xml:space="preserve">7</w:t>
      </w:r>
      <w:r>
        <w:rPr>
          <w:rFonts w:ascii="Arial" w:cs="Arial" w:eastAsia="Arial" w:hAnsi="Arial"/>
          <w:sz w:val="22"/>
          <w:szCs w:val="22"/>
        </w:rPr>
        <w:t xml:space="preserve"> on the left edge to select the entire row. Then </w:t>
      </w:r>
      <w:r>
        <w:rPr>
          <w:rFonts w:ascii="Arial" w:cs="Arial" w:eastAsia="Arial" w:hAnsi="Arial"/>
          <w:b/>
          <w:bCs/>
          <w:sz w:val="22"/>
          <w:szCs w:val="22"/>
        </w:rPr>
        <w:t xml:space="preserve">Shift+click</w:t>
      </w:r>
      <w:r>
        <w:rPr>
          <w:rFonts w:ascii="Arial" w:cs="Arial" w:eastAsia="Arial" w:hAnsi="Arial"/>
          <w:sz w:val="22"/>
          <w:szCs w:val="22"/>
        </w:rPr>
        <w:t xml:space="preserve"> row </w:t>
      </w:r>
      <w:r>
        <w:rPr>
          <w:rFonts w:ascii="Arial" w:cs="Arial" w:eastAsia="Arial" w:hAnsi="Arial"/>
          <w:b/>
          <w:bCs/>
          <w:sz w:val="22"/>
          <w:szCs w:val="22"/>
        </w:rPr>
        <w:t xml:space="preserve">18</w:t>
      </w:r>
      <w:r>
        <w:rPr>
          <w:rFonts w:ascii="Arial" w:cs="Arial" w:eastAsia="Arial" w:hAnsi="Arial"/>
          <w:sz w:val="22"/>
          <w:szCs w:val="22"/>
        </w:rPr>
        <w:t xml:space="preserve"> to select rows 7 through 18 (the 12 example deals).</w:t>
      </w:r>
    </w:p>
    <w:p>
      <w:pPr>
        <w:pStyle w:val="ListParagraph"/>
        <w:numPr>
          <w:ilvl w:val="0"/>
          <w:numId w:val="3"/>
        </w:numPr>
        <w:spacing w:after="100"/>
      </w:pPr>
      <w:r>
        <w:rPr>
          <w:rFonts w:ascii="Arial" w:cs="Arial" w:eastAsia="Arial" w:hAnsi="Arial"/>
          <w:sz w:val="22"/>
          <w:szCs w:val="22"/>
        </w:rPr>
        <w:t xml:space="preserve">Right-click anywhere in the highlighted rows. From the menu, choose </w:t>
      </w:r>
      <w:r>
        <w:rPr>
          <w:rFonts w:ascii="Arial" w:cs="Arial" w:eastAsia="Arial" w:hAnsi="Arial"/>
          <w:b/>
          <w:bCs/>
          <w:sz w:val="22"/>
          <w:szCs w:val="22"/>
        </w:rPr>
        <w:t xml:space="preserve">Clear Contents</w:t>
      </w:r>
      <w:r>
        <w:rPr>
          <w:rFonts w:ascii="Arial" w:cs="Arial" w:eastAsia="Arial" w:hAnsi="Arial"/>
          <w:sz w:val="22"/>
          <w:szCs w:val="22"/>
        </w:rPr>
        <w:t xml:space="preserve">. </w:t>
      </w:r>
      <w:r>
        <w:rPr>
          <w:rFonts w:ascii="Arial" w:cs="Arial" w:eastAsia="Arial" w:hAnsi="Arial"/>
          <w:i/>
          <w:iCs/>
          <w:sz w:val="22"/>
          <w:szCs w:val="22"/>
        </w:rPr>
        <w:t xml:space="preserve">Do not choose Delete.</w:t>
      </w:r>
      <w:r>
        <w:rPr>
          <w:rFonts w:ascii="Arial" w:cs="Arial" w:eastAsia="Arial" w:hAnsi="Arial"/>
          <w:sz w:val="22"/>
          <w:szCs w:val="22"/>
        </w:rPr>
        <w:t xml:space="preserve"> Clear Contents leaves the formulas behind for when you add your own deals; Delete would shift everything up and break things.</w:t>
      </w:r>
    </w:p>
    <w:p>
      <w:pPr>
        <w:pStyle w:val="ListParagraph"/>
        <w:numPr>
          <w:ilvl w:val="0"/>
          <w:numId w:val="3"/>
        </w:numPr>
        <w:spacing w:after="100"/>
      </w:pPr>
      <w:r>
        <w:rPr>
          <w:rFonts w:ascii="Arial" w:cs="Arial" w:eastAsia="Arial" w:hAnsi="Arial"/>
          <w:sz w:val="22"/>
          <w:szCs w:val="22"/>
        </w:rPr>
        <w:t xml:space="preserve">The yellow cells are now blank. You'll see grey cells in columns Q, X, Y, and AB still showing — those are the formula cells, ready to calculate as soon as you add data.</w:t>
      </w:r>
    </w:p>
    <w:p>
      <w:pPr>
        <w:pStyle w:val="Heading2"/>
        <w:spacing w:after="140" w:before="280"/>
      </w:pPr>
      <w:r>
        <w:rPr>
          <w:rFonts w:ascii="Arial" w:cs="Arial" w:eastAsia="Arial" w:hAnsi="Arial"/>
          <w:b/>
          <w:bCs/>
          <w:color w:val="1A1A1A"/>
          <w:sz w:val="26"/>
          <w:szCs w:val="26"/>
        </w:rPr>
        <w:t xml:space="preserve">2.2 — GC_Framework tab</w:t>
      </w:r>
    </w:p>
    <w:p>
      <w:pPr>
        <w:pStyle w:val="ListParagraph"/>
        <w:numPr>
          <w:ilvl w:val="0"/>
          <w:numId w:val="4"/>
        </w:numPr>
        <w:spacing w:after="100"/>
      </w:pPr>
      <w:r>
        <w:rPr>
          <w:rFonts w:ascii="Arial" w:cs="Arial" w:eastAsia="Arial" w:hAnsi="Arial"/>
          <w:sz w:val="22"/>
          <w:szCs w:val="22"/>
        </w:rPr>
        <w:t xml:space="preserve">Click the GC_Framework tab.</w:t>
      </w:r>
    </w:p>
    <w:p>
      <w:pPr>
        <w:pStyle w:val="ListParagraph"/>
        <w:numPr>
          <w:ilvl w:val="0"/>
          <w:numId w:val="4"/>
        </w:numPr>
        <w:spacing w:after="100"/>
      </w:pPr>
      <w:r>
        <w:rPr>
          <w:rFonts w:ascii="Arial" w:cs="Arial" w:eastAsia="Arial" w:hAnsi="Arial"/>
          <w:sz w:val="22"/>
          <w:szCs w:val="22"/>
        </w:rPr>
        <w:t xml:space="preserve">Select rows </w:t>
      </w:r>
      <w:r>
        <w:rPr>
          <w:rFonts w:ascii="Arial" w:cs="Arial" w:eastAsia="Arial" w:hAnsi="Arial"/>
          <w:b/>
          <w:bCs/>
          <w:sz w:val="22"/>
          <w:szCs w:val="22"/>
        </w:rPr>
        <w:t xml:space="preserve">5 through 16</w:t>
      </w:r>
      <w:r>
        <w:rPr>
          <w:rFonts w:ascii="Arial" w:cs="Arial" w:eastAsia="Arial" w:hAnsi="Arial"/>
          <w:sz w:val="22"/>
          <w:szCs w:val="22"/>
        </w:rPr>
        <w:t xml:space="preserve"> (the 12 example qualitative scorings).</w:t>
      </w:r>
    </w:p>
    <w:p>
      <w:pPr>
        <w:pStyle w:val="ListParagraph"/>
        <w:numPr>
          <w:ilvl w:val="0"/>
          <w:numId w:val="4"/>
        </w:numPr>
        <w:spacing w:after="100"/>
      </w:pPr>
      <w:r>
        <w:rPr>
          <w:rFonts w:ascii="Arial" w:cs="Arial" w:eastAsia="Arial" w:hAnsi="Arial"/>
          <w:sz w:val="22"/>
          <w:szCs w:val="22"/>
        </w:rPr>
        <w:t xml:space="preserve">Right-click → </w:t>
      </w:r>
      <w:r>
        <w:rPr>
          <w:rFonts w:ascii="Arial" w:cs="Arial" w:eastAsia="Arial" w:hAnsi="Arial"/>
          <w:b/>
          <w:bCs/>
          <w:sz w:val="22"/>
          <w:szCs w:val="22"/>
        </w:rPr>
        <w:t xml:space="preserve">Clear Contents</w:t>
      </w:r>
      <w:r>
        <w:rPr>
          <w:rFonts w:ascii="Arial" w:cs="Arial" w:eastAsia="Arial" w:hAnsi="Arial"/>
          <w:sz w:val="22"/>
          <w:szCs w:val="22"/>
        </w:rPr>
        <w:t xml:space="preserve">.</w:t>
      </w:r>
    </w:p>
    <w:p>
      <w:pPr>
        <w:pStyle w:val="Heading2"/>
        <w:spacing w:after="140" w:before="280"/>
      </w:pPr>
      <w:r>
        <w:rPr>
          <w:rFonts w:ascii="Arial" w:cs="Arial" w:eastAsia="Arial" w:hAnsi="Arial"/>
          <w:b/>
          <w:bCs/>
          <w:color w:val="1A1A1A"/>
          <w:sz w:val="26"/>
          <w:szCs w:val="26"/>
        </w:rPr>
        <w:t xml:space="preserve">2.3 — CashFlows tab</w:t>
      </w:r>
    </w:p>
    <w:p>
      <w:pPr>
        <w:pStyle w:val="ListParagraph"/>
        <w:numPr>
          <w:ilvl w:val="0"/>
          <w:numId w:val="5"/>
        </w:numPr>
        <w:spacing w:after="100"/>
      </w:pPr>
      <w:r>
        <w:rPr>
          <w:rFonts w:ascii="Arial" w:cs="Arial" w:eastAsia="Arial" w:hAnsi="Arial"/>
          <w:sz w:val="22"/>
          <w:szCs w:val="22"/>
        </w:rPr>
        <w:t xml:space="preserve">Click the CashFlows tab.</w:t>
      </w:r>
    </w:p>
    <w:p>
      <w:pPr>
        <w:pStyle w:val="ListParagraph"/>
        <w:numPr>
          <w:ilvl w:val="0"/>
          <w:numId w:val="5"/>
        </w:numPr>
        <w:spacing w:after="100"/>
      </w:pPr>
      <w:r>
        <w:rPr>
          <w:rFonts w:ascii="Arial" w:cs="Arial" w:eastAsia="Arial" w:hAnsi="Arial"/>
          <w:sz w:val="22"/>
          <w:szCs w:val="22"/>
        </w:rPr>
        <w:t xml:space="preserve">This tab has more rows because each deal has multiple cashflow events. Select rows </w:t>
      </w:r>
      <w:r>
        <w:rPr>
          <w:rFonts w:ascii="Arial" w:cs="Arial" w:eastAsia="Arial" w:hAnsi="Arial"/>
          <w:b/>
          <w:bCs/>
          <w:sz w:val="22"/>
          <w:szCs w:val="22"/>
        </w:rPr>
        <w:t xml:space="preserve">6 through 119</w:t>
      </w:r>
      <w:r>
        <w:rPr>
          <w:rFonts w:ascii="Arial" w:cs="Arial" w:eastAsia="Arial" w:hAnsi="Arial"/>
          <w:sz w:val="22"/>
          <w:szCs w:val="22"/>
        </w:rPr>
        <w:t xml:space="preserve"> (or wherever the example data ends — scroll down to see).</w:t>
      </w:r>
    </w:p>
    <w:p>
      <w:pPr>
        <w:pStyle w:val="ListParagraph"/>
        <w:numPr>
          <w:ilvl w:val="0"/>
          <w:numId w:val="5"/>
        </w:numPr>
        <w:spacing w:after="100"/>
      </w:pPr>
      <w:r>
        <w:rPr>
          <w:rFonts w:ascii="Arial" w:cs="Arial" w:eastAsia="Arial" w:hAnsi="Arial"/>
          <w:sz w:val="22"/>
          <w:szCs w:val="22"/>
        </w:rPr>
        <w:t xml:space="preserve">Right-click → </w:t>
      </w:r>
      <w:r>
        <w:rPr>
          <w:rFonts w:ascii="Arial" w:cs="Arial" w:eastAsia="Arial" w:hAnsi="Arial"/>
          <w:b/>
          <w:bCs/>
          <w:sz w:val="22"/>
          <w:szCs w:val="22"/>
        </w:rPr>
        <w:t xml:space="preserve">Clear Contents</w:t>
      </w:r>
      <w:r>
        <w:rPr>
          <w:rFonts w:ascii="Arial" w:cs="Arial" w:eastAsia="Arial" w:hAnsi="Arial"/>
          <w:sz w:val="22"/>
          <w:szCs w:val="22"/>
        </w:rPr>
        <w:t xml:space="preserve">.</w:t>
      </w:r>
    </w:p>
    <w:p>
      <w:pPr>
        <w:pBdr>
          <w:left w:val="single" w:color="B8743A" w:sz="16" w:space="8"/>
        </w:pBdr>
        <w:spacing w:after="180" w:before="120"/>
        <w:ind w:left="360"/>
      </w:pPr>
      <w:r>
        <w:rPr>
          <w:rFonts w:ascii="Arial" w:cs="Arial" w:eastAsia="Arial" w:hAnsi="Arial"/>
          <w:b/>
          <w:bCs/>
          <w:color w:val="B8743A"/>
          <w:sz w:val="22"/>
          <w:szCs w:val="22"/>
        </w:rPr>
        <w:t xml:space="preserve">Heads up. </w:t>
      </w:r>
      <w:r>
        <w:rPr>
          <w:rFonts w:ascii="Arial" w:cs="Arial" w:eastAsia="Arial" w:hAnsi="Arial"/>
          <w:sz w:val="22"/>
          <w:szCs w:val="22"/>
        </w:rPr>
        <w:t xml:space="preserve">Don't worry if column G (</w:t>
      </w:r>
      <w:r>
        <w:rPr>
          <w:rFonts w:ascii="Consolas" w:cs="Consolas" w:eastAsia="Consolas" w:hAnsi="Consolas"/>
          <w:sz w:val="20"/>
          <w:szCs w:val="20"/>
        </w:rPr>
        <w:t xml:space="preserve">Call Type</w:t>
      </w:r>
      <w:r>
        <w:rPr>
          <w:rFonts w:ascii="Arial" w:cs="Arial" w:eastAsia="Arial" w:hAnsi="Arial"/>
          <w:sz w:val="22"/>
          <w:szCs w:val="22"/>
        </w:rPr>
        <w:t xml:space="preserve">) shows blanks now — those are formula cells that will auto-classify any capital calls you add later. They're locked, so you can't accidentally clear them.</w:t>
      </w:r>
    </w:p>
    <w:p>
      <w:pPr>
        <w:spacing w:after="120"/>
      </w:pPr>
      <w:r>
        <w:rPr>
          <w:rFonts w:ascii="Arial" w:cs="Arial" w:eastAsia="Arial" w:hAnsi="Arial"/>
          <w:b/>
          <w:bCs/>
          <w:sz w:val="22"/>
          <w:szCs w:val="22"/>
        </w:rPr>
        <w:t xml:space="preserve">Save the file.</w:t>
      </w:r>
      <w:r>
        <w:rPr>
          <w:rFonts w:ascii="Arial" w:cs="Arial" w:eastAsia="Arial" w:hAnsi="Arial"/>
          <w:sz w:val="22"/>
          <w:szCs w:val="22"/>
        </w:rPr>
        <w:t xml:space="preserve"> You now have a clean tracker.</w:t>
      </w:r>
    </w:p>
    <w:p>
      <w:pPr>
        <w:pBdr>
          <w:bottom w:val="single" w:color="888888" w:sz="6" w:space="6"/>
        </w:pBdr>
        <w:spacing w:after="240" w:before="120"/>
      </w:pPr>
    </w:p>
    <w:p>
      <w:pPr>
        <w:pStyle w:val="Heading1"/>
        <w:spacing w:after="180" w:before="360"/>
      </w:pPr>
      <w:r>
        <w:rPr>
          <w:rFonts w:ascii="Arial" w:cs="Arial" w:eastAsia="Arial" w:hAnsi="Arial"/>
          <w:b/>
          <w:bCs/>
          <w:color w:val="1A1A1A"/>
          <w:sz w:val="32"/>
          <w:szCs w:val="32"/>
        </w:rPr>
        <w:t xml:space="preserve">3 — Enter your first deal (5 minutes)</w:t>
      </w:r>
    </w:p>
    <w:p>
      <w:pPr>
        <w:spacing w:after="120"/>
      </w:pPr>
      <w:r>
        <w:rPr>
          <w:rFonts w:ascii="Arial" w:cs="Arial" w:eastAsia="Arial" w:hAnsi="Arial"/>
          <w:sz w:val="22"/>
          <w:szCs w:val="22"/>
        </w:rPr>
        <w:t xml:space="preserve">This is the heart of the guide. We'll enter one deal end to end across all three tabs. To make it concrete, I'll use a sample deal, but you should substitute your own values.</w:t>
      </w:r>
    </w:p>
    <w:p>
      <w:pPr>
        <w:spacing w:after="120"/>
      </w:pPr>
      <w:r>
        <w:rPr>
          <w:rFonts w:ascii="Arial" w:cs="Arial" w:eastAsia="Arial" w:hAnsi="Arial"/>
          <w:b/>
          <w:bCs/>
          <w:sz w:val="22"/>
          <w:szCs w:val="22"/>
        </w:rPr>
        <w:t xml:space="preserve">Sample deal: </w:t>
      </w:r>
      <w:r>
        <w:rPr>
          <w:rFonts w:ascii="Arial" w:cs="Arial" w:eastAsia="Arial" w:hAnsi="Arial"/>
          <w:sz w:val="22"/>
          <w:szCs w:val="22"/>
        </w:rPr>
        <w:t xml:space="preserve">$50,000 commitment to a Real Estate syndication called "Brickyard Lofts Fund III" run by Brickyard Capital. SD-IRA. Committed July 2025, funded August 2025. Targeting 16% ARR, 1.8x MOIC. Quarterly distributions starting June 2026.</w:t>
      </w:r>
    </w:p>
    <w:p>
      <w:pPr>
        <w:pStyle w:val="Heading2"/>
        <w:spacing w:after="140" w:before="280"/>
      </w:pPr>
      <w:r>
        <w:rPr>
          <w:rFonts w:ascii="Arial" w:cs="Arial" w:eastAsia="Arial" w:hAnsi="Arial"/>
          <w:b/>
          <w:bCs/>
          <w:color w:val="1A1A1A"/>
          <w:sz w:val="26"/>
          <w:szCs w:val="26"/>
        </w:rPr>
        <w:t xml:space="preserve">3.1 — Add the deal on the Investments tab</w:t>
      </w:r>
    </w:p>
    <w:p>
      <w:pPr>
        <w:spacing w:after="120"/>
      </w:pPr>
      <w:r>
        <w:rPr>
          <w:rFonts w:ascii="Arial" w:cs="Arial" w:eastAsia="Arial" w:hAnsi="Arial"/>
          <w:sz w:val="22"/>
          <w:szCs w:val="22"/>
        </w:rPr>
        <w:t xml:space="preserve">Go to the Investments tab. Click on cell </w:t>
      </w:r>
      <w:r>
        <w:rPr>
          <w:rFonts w:ascii="Consolas" w:cs="Consolas" w:eastAsia="Consolas" w:hAnsi="Consolas"/>
          <w:sz w:val="20"/>
          <w:szCs w:val="20"/>
        </w:rPr>
        <w:t xml:space="preserve">A7</w:t>
      </w:r>
      <w:r>
        <w:rPr>
          <w:rFonts w:ascii="Arial" w:cs="Arial" w:eastAsia="Arial" w:hAnsi="Arial"/>
          <w:sz w:val="22"/>
          <w:szCs w:val="22"/>
        </w:rPr>
        <w:t xml:space="preserve"> (the first empty data row). Fill in the yellow cells one at a time. The grey cells will calculate themselves as you 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rPr>
          <w:tblHeader/>
        </w:trPr>
        <w:tc>
          <w:tcPr>
            <w:tcW w:type="dxa" w:w="700"/>
            <w:tcBorders>
              <w:top w:val="single" w:color="BBBBBB" w:sz="4"/>
              <w:left w:val="single" w:color="BBBBBB" w:sz="4"/>
              <w:bottom w:val="single" w:color="BBBBBB" w:sz="4"/>
              <w:right w:val="single" w:color="BBBBBB" w:sz="4"/>
            </w:tcBorders>
            <w:shd w:fill="4A4A4A" w:val="clear"/>
            <w:tcMar>
              <w:top w:type="dxa" w:w="80"/>
              <w:left w:type="dxa" w:w="100"/>
              <w:bottom w:type="dxa" w:w="80"/>
              <w:right w:type="dxa" w:w="100"/>
            </w:tcMar>
          </w:tcPr>
          <w:p>
            <w:r>
              <w:rPr>
                <w:rFonts w:ascii="Arial" w:cs="Arial" w:eastAsia="Arial" w:hAnsi="Arial"/>
                <w:b/>
                <w:bCs/>
                <w:color w:val="FFFFFF"/>
                <w:sz w:val="20"/>
                <w:szCs w:val="20"/>
              </w:rPr>
              <w:t xml:space="preserve">Col</w:t>
            </w:r>
          </w:p>
        </w:tc>
        <w:tc>
          <w:tcPr>
            <w:tcW w:type="dxa" w:w="2400"/>
            <w:tcBorders>
              <w:top w:val="single" w:color="BBBBBB" w:sz="4"/>
              <w:left w:val="single" w:color="BBBBBB" w:sz="4"/>
              <w:bottom w:val="single" w:color="BBBBBB" w:sz="4"/>
              <w:right w:val="single" w:color="BBBBBB" w:sz="4"/>
            </w:tcBorders>
            <w:shd w:fill="4A4A4A" w:val="clear"/>
            <w:tcMar>
              <w:top w:type="dxa" w:w="80"/>
              <w:left w:type="dxa" w:w="100"/>
              <w:bottom w:type="dxa" w:w="80"/>
              <w:right w:type="dxa" w:w="100"/>
            </w:tcMar>
          </w:tcPr>
          <w:p>
            <w:r>
              <w:rPr>
                <w:rFonts w:ascii="Arial" w:cs="Arial" w:eastAsia="Arial" w:hAnsi="Arial"/>
                <w:b/>
                <w:bCs/>
                <w:color w:val="FFFFFF"/>
                <w:sz w:val="20"/>
                <w:szCs w:val="20"/>
              </w:rPr>
              <w:t xml:space="preserve">Field</w:t>
            </w:r>
          </w:p>
        </w:tc>
        <w:tc>
          <w:tcPr>
            <w:tcW w:type="dxa" w:w="6260"/>
            <w:tcBorders>
              <w:top w:val="single" w:color="BBBBBB" w:sz="4"/>
              <w:left w:val="single" w:color="BBBBBB" w:sz="4"/>
              <w:bottom w:val="single" w:color="BBBBBB" w:sz="4"/>
              <w:right w:val="single" w:color="BBBBBB" w:sz="4"/>
            </w:tcBorders>
            <w:shd w:fill="4A4A4A" w:val="clear"/>
            <w:tcMar>
              <w:top w:type="dxa" w:w="80"/>
              <w:left w:type="dxa" w:w="100"/>
              <w:bottom w:type="dxa" w:w="80"/>
              <w:right w:type="dxa" w:w="100"/>
            </w:tcMar>
          </w:tcPr>
          <w:p>
            <w:r>
              <w:rPr>
                <w:rFonts w:ascii="Arial" w:cs="Arial" w:eastAsia="Arial" w:hAnsi="Arial"/>
                <w:b/>
                <w:bCs/>
                <w:color w:val="FFFFFF"/>
                <w:sz w:val="20"/>
                <w:szCs w:val="20"/>
              </w:rPr>
              <w:t xml:space="preserve">What to enter (sample value in italics)</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A</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Deal ID</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Your own internal code. Pick a format and stick with it. Sample: GC-RE-003. Pattern suggestion: GC-{type}-{nnn} where type is RE/PE/VC/PC.</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B</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Deal Name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What the sponsor calls it. Sample: Brickyard Lofts Fund III</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C</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Sponsor/Manager</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GP or operator legal name. Sample: BRICKYARD CAPITAL, LLC</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D</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Asset Class</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Click the cell — a dropdown arrow appears. Pick from: VC / Private Equity / Real Estate / Private Credit / Other. Sample: Real Estate</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E</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VS Stage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VS stage classification, if you use that framework. Otherwise leave blank or write NA.</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F</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Portfolio Role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Free text describing the role this deal plays. Sample: "Income Anchor" or "Anchor Income + Tax Shield"</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G</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Deal Status</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Dropdown. Sample: Funded (because this one is already wired)</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H</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Sub-Strategy</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Free text. Sample: Real Estate / Multi-Family Syndication</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I</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Vehicle Type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Dropdown: Fund / SPV / Syndicate / Direct / Other. Sample: Fund</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J</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Account Type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Dropdown — which account holds it. Sample: SDIRA</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K</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Entity/Title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Whose name the investment is in. Sample: Individual</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L</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Tax Bucket</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Dropdown: Portfolio / Passive / Active / UBTI / Unknown. Sample: Passive</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M</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Date Committed</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Date you signed the docs. Sample: 7/29/2025</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N</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Date Funded</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Date the wire cleared. Sample: 8/4/2025</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O</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Commitment ($)</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Total commitment. Sample: 50000</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P</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Amount Funded ($)</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How much you've actually wired. Sample: 50000</w:t>
            </w:r>
          </w:p>
        </w:tc>
      </w:tr>
      <w:tr>
        <w:tc>
          <w:tcPr>
            <w:tcW w:type="dxa" w:w="700"/>
            <w:tcBorders>
              <w:top w:val="single" w:color="BBBBBB" w:sz="4"/>
              <w:left w:val="single" w:color="BBBBBB" w:sz="4"/>
              <w:bottom w:val="single" w:color="BBBBBB" w:sz="4"/>
              <w:right w:val="single" w:color="BBBBBB" w:sz="4"/>
            </w:tcBorders>
            <w:shd w:fill="ECECEC" w:val="clear"/>
            <w:tcMar>
              <w:top w:type="dxa" w:w="80"/>
              <w:left w:type="dxa" w:w="100"/>
              <w:bottom w:type="dxa" w:w="80"/>
              <w:right w:type="dxa" w:w="100"/>
            </w:tcMar>
          </w:tcPr>
          <w:p>
            <w:r>
              <w:rPr>
                <w:rFonts w:ascii="Consolas" w:cs="Consolas" w:eastAsia="Consolas" w:hAnsi="Consolas"/>
                <w:b/>
                <w:bCs/>
                <w:sz w:val="20"/>
                <w:szCs w:val="20"/>
              </w:rPr>
              <w:t xml:space="preserve">Q</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Unfunded ($)</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Auto-calculated (= O − P). You'll see 0 once you finish.</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R</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Capital Call Schedule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Free text. Sample: "NA — fully funded at close" or "Quarterly over 8 quarters"</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S</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Lockup (yrs)</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Number. Sample: 5</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T</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Target Horizon (yrs)</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Number. Sample: 7</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U</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Current Value ($)</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Current NAV or your best estimate. Sample: 50000</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V</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Distributions ($)</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Total distributions received to date. Sample: 0 (none yet)</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W</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Distribution Schedule</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Free text. Sample: Quarterly — 6% starting 6/1/2026. $750 per quarter.</w:t>
            </w:r>
          </w:p>
        </w:tc>
      </w:tr>
      <w:tr>
        <w:tc>
          <w:tcPr>
            <w:tcW w:type="dxa" w:w="700"/>
            <w:tcBorders>
              <w:top w:val="single" w:color="BBBBBB" w:sz="4"/>
              <w:left w:val="single" w:color="BBBBBB" w:sz="4"/>
              <w:bottom w:val="single" w:color="BBBBBB" w:sz="4"/>
              <w:right w:val="single" w:color="BBBBBB" w:sz="4"/>
            </w:tcBorders>
            <w:shd w:fill="ECECEC" w:val="clear"/>
            <w:tcMar>
              <w:top w:type="dxa" w:w="80"/>
              <w:left w:type="dxa" w:w="100"/>
              <w:bottom w:type="dxa" w:w="80"/>
              <w:right w:type="dxa" w:w="100"/>
            </w:tcMar>
          </w:tcPr>
          <w:p>
            <w:r>
              <w:rPr>
                <w:rFonts w:ascii="Consolas" w:cs="Consolas" w:eastAsia="Consolas" w:hAnsi="Consolas"/>
                <w:b/>
                <w:bCs/>
                <w:sz w:val="20"/>
                <w:szCs w:val="20"/>
              </w:rPr>
              <w:t xml:space="preserve">X</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Total Value ($)</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Auto-calculated (= U + V).</w:t>
            </w:r>
          </w:p>
        </w:tc>
      </w:tr>
      <w:tr>
        <w:tc>
          <w:tcPr>
            <w:tcW w:type="dxa" w:w="700"/>
            <w:tcBorders>
              <w:top w:val="single" w:color="BBBBBB" w:sz="4"/>
              <w:left w:val="single" w:color="BBBBBB" w:sz="4"/>
              <w:bottom w:val="single" w:color="BBBBBB" w:sz="4"/>
              <w:right w:val="single" w:color="BBBBBB" w:sz="4"/>
            </w:tcBorders>
            <w:shd w:fill="ECECEC" w:val="clear"/>
            <w:tcMar>
              <w:top w:type="dxa" w:w="80"/>
              <w:left w:type="dxa" w:w="100"/>
              <w:bottom w:type="dxa" w:w="80"/>
              <w:right w:type="dxa" w:w="100"/>
            </w:tcMar>
          </w:tcPr>
          <w:p>
            <w:r>
              <w:rPr>
                <w:rFonts w:ascii="Consolas" w:cs="Consolas" w:eastAsia="Consolas" w:hAnsi="Consolas"/>
                <w:b/>
                <w:bCs/>
                <w:sz w:val="20"/>
                <w:szCs w:val="20"/>
              </w:rPr>
              <w:t xml:space="preserve">Y</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Anticipated Value ($)</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Auto-calculated (= O × AA).</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Z</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Expected ARR</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As a decimal: 0.16 means 16%. Sample: 0.16</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AA</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Expected MOIC</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Multiple of invested capital you target. Sample: 1.8</w:t>
            </w:r>
          </w:p>
        </w:tc>
      </w:tr>
      <w:tr>
        <w:tc>
          <w:tcPr>
            <w:tcW w:type="dxa" w:w="700"/>
            <w:tcBorders>
              <w:top w:val="single" w:color="BBBBBB" w:sz="4"/>
              <w:left w:val="single" w:color="BBBBBB" w:sz="4"/>
              <w:bottom w:val="single" w:color="BBBBBB" w:sz="4"/>
              <w:right w:val="single" w:color="BBBBBB" w:sz="4"/>
            </w:tcBorders>
            <w:shd w:fill="ECECEC" w:val="clear"/>
            <w:tcMar>
              <w:top w:type="dxa" w:w="80"/>
              <w:left w:type="dxa" w:w="100"/>
              <w:bottom w:type="dxa" w:w="80"/>
              <w:right w:type="dxa" w:w="100"/>
            </w:tcMar>
          </w:tcPr>
          <w:p>
            <w:r>
              <w:rPr>
                <w:rFonts w:ascii="Consolas" w:cs="Consolas" w:eastAsia="Consolas" w:hAnsi="Consolas"/>
                <w:b/>
                <w:bCs/>
                <w:sz w:val="20"/>
                <w:szCs w:val="20"/>
              </w:rPr>
              <w:t xml:space="preserve">AB</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Actual MOIC</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Auto-calculated (= X ÷ P).</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AC</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Notes</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Any free text. Optional.</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AD</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Contact</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GP contact name. Optional.</w:t>
            </w:r>
          </w:p>
        </w:tc>
      </w:tr>
      <w:tr>
        <w:tc>
          <w:tcPr>
            <w:tcW w:type="dxa" w:w="700"/>
            <w:tcBorders>
              <w:top w:val="single" w:color="BBBBBB" w:sz="4"/>
              <w:left w:val="single" w:color="BBBBBB" w:sz="4"/>
              <w:bottom w:val="single" w:color="BBBBBB" w:sz="4"/>
              <w:right w:val="single" w:color="BBBBBB" w:sz="4"/>
            </w:tcBorders>
            <w:shd w:fill="FFF8DC" w:val="clear"/>
            <w:tcMar>
              <w:top w:type="dxa" w:w="80"/>
              <w:left w:type="dxa" w:w="100"/>
              <w:bottom w:type="dxa" w:w="80"/>
              <w:right w:type="dxa" w:w="100"/>
            </w:tcMar>
          </w:tcPr>
          <w:p>
            <w:r>
              <w:rPr>
                <w:rFonts w:ascii="Consolas" w:cs="Consolas" w:eastAsia="Consolas" w:hAnsi="Consolas"/>
                <w:b/>
                <w:bCs/>
                <w:sz w:val="20"/>
                <w:szCs w:val="20"/>
              </w:rPr>
              <w:t xml:space="preserve">AE</w:t>
            </w:r>
          </w:p>
        </w:tc>
        <w:tc>
          <w:tcPr>
            <w:tcW w:type="dxa" w:w="240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b/>
                <w:bCs/>
                <w:sz w:val="20"/>
                <w:szCs w:val="20"/>
              </w:rPr>
              <w:t xml:space="preserve">Contact Info</w:t>
            </w:r>
          </w:p>
        </w:tc>
        <w:tc>
          <w:tcPr>
            <w:tcW w:type="dxa" w:w="6260"/>
            <w:tcBorders>
              <w:top w:val="single" w:color="BBBBBB" w:sz="4"/>
              <w:left w:val="single" w:color="BBBBBB" w:sz="4"/>
              <w:bottom w:val="single" w:color="BBBBBB" w:sz="4"/>
              <w:right w:val="single" w:color="BBBBBB" w:sz="4"/>
            </w:tcBorders>
            <w:tcMar>
              <w:top w:type="dxa" w:w="80"/>
              <w:left w:type="dxa" w:w="100"/>
              <w:bottom w:type="dxa" w:w="80"/>
              <w:right w:type="dxa" w:w="100"/>
            </w:tcMar>
          </w:tcPr>
          <w:p>
            <w:r>
              <w:rPr>
                <w:rFonts w:ascii="Arial" w:cs="Arial" w:eastAsia="Arial" w:hAnsi="Arial"/>
                <w:sz w:val="20"/>
                <w:szCs w:val="20"/>
              </w:rPr>
              <w:t xml:space="preserve">Phone or email. Optional.</w:t>
            </w:r>
          </w:p>
        </w:tc>
      </w:tr>
    </w:tbl>
    <w:p>
      <w:pPr>
        <w:spacing w:after="120"/>
      </w:pPr>
    </w:p>
    <w:p>
      <w:pPr>
        <w:pBdr>
          <w:left w:val="single" w:color="4A7B3A" w:sz="16" w:space="8"/>
        </w:pBdr>
        <w:spacing w:after="180" w:before="120"/>
        <w:ind w:left="360"/>
      </w:pPr>
      <w:r>
        <w:rPr>
          <w:rFonts w:ascii="Arial" w:cs="Arial" w:eastAsia="Arial" w:hAnsi="Arial"/>
          <w:b/>
          <w:bCs/>
          <w:color w:val="4A7B3A"/>
          <w:sz w:val="22"/>
          <w:szCs w:val="22"/>
        </w:rPr>
        <w:t xml:space="preserve">Tip. </w:t>
      </w:r>
      <w:r>
        <w:rPr>
          <w:rFonts w:ascii="Arial" w:cs="Arial" w:eastAsia="Arial" w:hAnsi="Arial"/>
          <w:sz w:val="22"/>
          <w:szCs w:val="22"/>
        </w:rPr>
        <w:t xml:space="preserve">Save the file as you go. </w:t>
      </w:r>
      <w:r>
        <w:rPr>
          <w:rFonts w:ascii="Consolas" w:cs="Consolas" w:eastAsia="Consolas" w:hAnsi="Consolas"/>
          <w:sz w:val="20"/>
          <w:szCs w:val="20"/>
        </w:rPr>
        <w:t xml:space="preserve">Ctrl+S</w:t>
      </w:r>
      <w:r>
        <w:rPr>
          <w:rFonts w:ascii="Arial" w:cs="Arial" w:eastAsia="Arial" w:hAnsi="Arial"/>
          <w:sz w:val="22"/>
          <w:szCs w:val="22"/>
        </w:rPr>
        <w:t xml:space="preserve"> / </w:t>
      </w:r>
      <w:r>
        <w:rPr>
          <w:rFonts w:ascii="Consolas" w:cs="Consolas" w:eastAsia="Consolas" w:hAnsi="Consolas"/>
          <w:sz w:val="20"/>
          <w:szCs w:val="20"/>
        </w:rPr>
        <w:t xml:space="preserve">Cmd+S</w:t>
      </w:r>
      <w:r>
        <w:rPr>
          <w:rFonts w:ascii="Arial" w:cs="Arial" w:eastAsia="Arial" w:hAnsi="Arial"/>
          <w:sz w:val="22"/>
          <w:szCs w:val="22"/>
        </w:rPr>
        <w:t xml:space="preserve">. Excel doesn't auto-save .xlsx files unless you've enabled OneDrive sync.</w:t>
      </w:r>
    </w:p>
    <w:p>
      <w:pPr>
        <w:pStyle w:val="Heading2"/>
        <w:spacing w:after="140" w:before="280"/>
      </w:pPr>
      <w:r>
        <w:rPr>
          <w:rFonts w:ascii="Arial" w:cs="Arial" w:eastAsia="Arial" w:hAnsi="Arial"/>
          <w:b/>
          <w:bCs/>
          <w:color w:val="1A1A1A"/>
          <w:sz w:val="26"/>
          <w:szCs w:val="26"/>
        </w:rPr>
        <w:t xml:space="preserve">3.2 — Add the qualitative scoring on the GC_Framework tab</w:t>
      </w:r>
    </w:p>
    <w:p>
      <w:pPr>
        <w:spacing w:after="120"/>
      </w:pPr>
      <w:r>
        <w:rPr>
          <w:rFonts w:ascii="Arial" w:cs="Arial" w:eastAsia="Arial" w:hAnsi="Arial"/>
          <w:sz w:val="22"/>
          <w:szCs w:val="22"/>
        </w:rPr>
        <w:t xml:space="preserve">Switch to the GC_Framework tab. Go to row 5 (the first empty row after the headers).</w:t>
      </w: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the Deal ID in column A </w:t>
      </w:r>
      <w:r>
        <w:rPr>
          <w:rFonts w:ascii="Arial" w:cs="Arial" w:eastAsia="Arial" w:hAnsi="Arial"/>
          <w:b/>
          <w:bCs/>
          <w:sz w:val="22"/>
          <w:szCs w:val="22"/>
        </w:rPr>
        <w:t xml:space="preserve">must exactly match</w:t>
      </w:r>
      <w:r>
        <w:rPr>
          <w:rFonts w:ascii="Arial" w:cs="Arial" w:eastAsia="Arial" w:hAnsi="Arial"/>
          <w:sz w:val="22"/>
          <w:szCs w:val="22"/>
        </w:rPr>
        <w:t xml:space="preserve"> what you put on the Investments sheet (</w:t>
      </w:r>
      <w:r>
        <w:rPr>
          <w:rFonts w:ascii="Consolas" w:cs="Consolas" w:eastAsia="Consolas" w:hAnsi="Consolas"/>
          <w:sz w:val="20"/>
          <w:szCs w:val="20"/>
        </w:rPr>
        <w:t xml:space="preserve">GC-RE-003</w:t>
      </w:r>
      <w:r>
        <w:rPr>
          <w:rFonts w:ascii="Arial" w:cs="Arial" w:eastAsia="Arial" w:hAnsi="Arial"/>
          <w:sz w:val="22"/>
          <w:szCs w:val="22"/>
        </w:rPr>
        <w:t xml:space="preserve"> in our example). Even a single character off ("GC-RE-3" vs "GC-RE-003") and the dashboard won't link them.</w:t>
      </w:r>
    </w:p>
    <w:p>
      <w:pPr>
        <w:spacing w:after="120"/>
      </w:pPr>
      <w:r>
        <w:rPr>
          <w:rFonts w:ascii="Arial" w:cs="Arial" w:eastAsia="Arial" w:hAnsi="Arial"/>
          <w:sz w:val="22"/>
          <w:szCs w:val="22"/>
        </w:rPr>
        <w:t xml:space="preserve">Fill in:</w:t>
      </w:r>
    </w:p>
    <w:p>
      <w:pPr>
        <w:pStyle w:val="ListParagraph"/>
        <w:numPr>
          <w:ilvl w:val="0"/>
          <w:numId w:val="2"/>
        </w:numPr>
        <w:spacing w:after="80"/>
      </w:pPr>
      <w:r>
        <w:rPr>
          <w:rFonts w:ascii="Arial" w:cs="Arial" w:eastAsia="Arial" w:hAnsi="Arial"/>
          <w:b/>
          <w:bCs/>
          <w:sz w:val="22"/>
          <w:szCs w:val="22"/>
        </w:rPr>
        <w:t xml:space="preserve">A: Deal ID</w:t>
      </w:r>
      <w:r>
        <w:rPr>
          <w:rFonts w:ascii="Arial" w:cs="Arial" w:eastAsia="Arial" w:hAnsi="Arial"/>
          <w:sz w:val="22"/>
          <w:szCs w:val="22"/>
        </w:rPr>
        <w:t xml:space="preserve"> — must match Investments column A exactly. Sample: </w:t>
      </w:r>
      <w:r>
        <w:rPr>
          <w:rFonts w:ascii="Consolas" w:cs="Consolas" w:eastAsia="Consolas" w:hAnsi="Consolas"/>
          <w:sz w:val="20"/>
          <w:szCs w:val="20"/>
        </w:rPr>
        <w:t xml:space="preserve">GC-RE-003</w:t>
      </w:r>
    </w:p>
    <w:p>
      <w:pPr>
        <w:pStyle w:val="ListParagraph"/>
        <w:numPr>
          <w:ilvl w:val="0"/>
          <w:numId w:val="2"/>
        </w:numPr>
        <w:spacing w:after="80"/>
      </w:pPr>
      <w:r>
        <w:rPr>
          <w:rFonts w:ascii="Arial" w:cs="Arial" w:eastAsia="Arial" w:hAnsi="Arial"/>
          <w:b/>
          <w:bCs/>
          <w:sz w:val="22"/>
          <w:szCs w:val="22"/>
        </w:rPr>
        <w:t xml:space="preserve">B: GC Score</w:t>
      </w:r>
      <w:r>
        <w:rPr>
          <w:rFonts w:ascii="Arial" w:cs="Arial" w:eastAsia="Arial" w:hAnsi="Arial"/>
          <w:sz w:val="22"/>
          <w:szCs w:val="22"/>
        </w:rPr>
        <w:t xml:space="preserve"> — your overall conviction score 0–100. Sample: 82</w:t>
      </w:r>
    </w:p>
    <w:p>
      <w:pPr>
        <w:pStyle w:val="ListParagraph"/>
        <w:numPr>
          <w:ilvl w:val="0"/>
          <w:numId w:val="2"/>
        </w:numPr>
        <w:spacing w:after="80"/>
      </w:pPr>
      <w:r>
        <w:rPr>
          <w:rFonts w:ascii="Arial" w:cs="Arial" w:eastAsia="Arial" w:hAnsi="Arial"/>
          <w:b/>
          <w:bCs/>
          <w:sz w:val="22"/>
          <w:szCs w:val="22"/>
        </w:rPr>
        <w:t xml:space="preserve">C: R-Code</w:t>
      </w:r>
      <w:r>
        <w:rPr>
          <w:rFonts w:ascii="Arial" w:cs="Arial" w:eastAsia="Arial" w:hAnsi="Arial"/>
          <w:sz w:val="22"/>
          <w:szCs w:val="22"/>
        </w:rPr>
        <w:t xml:space="preserve"> — dropdown R0–R9. Sample: R2</w:t>
      </w:r>
    </w:p>
    <w:p>
      <w:pPr>
        <w:pStyle w:val="ListParagraph"/>
        <w:numPr>
          <w:ilvl w:val="0"/>
          <w:numId w:val="2"/>
        </w:numPr>
        <w:spacing w:after="80"/>
      </w:pPr>
      <w:r>
        <w:rPr>
          <w:rFonts w:ascii="Arial" w:cs="Arial" w:eastAsia="Arial" w:hAnsi="Arial"/>
          <w:b/>
          <w:bCs/>
          <w:sz w:val="22"/>
          <w:szCs w:val="22"/>
        </w:rPr>
        <w:t xml:space="preserve">D: R-Code Label</w:t>
      </w:r>
      <w:r>
        <w:rPr>
          <w:rFonts w:ascii="Arial" w:cs="Arial" w:eastAsia="Arial" w:hAnsi="Arial"/>
          <w:sz w:val="22"/>
          <w:szCs w:val="22"/>
        </w:rPr>
        <w:t xml:space="preserve"> — human-readable description. Sample: Anchor Income + Tax Shield</w:t>
      </w:r>
    </w:p>
    <w:p>
      <w:pPr>
        <w:pStyle w:val="ListParagraph"/>
        <w:numPr>
          <w:ilvl w:val="0"/>
          <w:numId w:val="2"/>
        </w:numPr>
        <w:spacing w:after="80"/>
      </w:pPr>
      <w:r>
        <w:rPr>
          <w:rFonts w:ascii="Arial" w:cs="Arial" w:eastAsia="Arial" w:hAnsi="Arial"/>
          <w:b/>
          <w:bCs/>
          <w:sz w:val="22"/>
          <w:szCs w:val="22"/>
        </w:rPr>
        <w:t xml:space="preserve">E: Conviction Tier</w:t>
      </w:r>
      <w:r>
        <w:rPr>
          <w:rFonts w:ascii="Arial" w:cs="Arial" w:eastAsia="Arial" w:hAnsi="Arial"/>
          <w:sz w:val="22"/>
          <w:szCs w:val="22"/>
        </w:rPr>
        <w:t xml:space="preserve"> — dropdown: Core / Strategic / Tactical / Opportunistic / Speculative. Sample: Core</w:t>
      </w:r>
    </w:p>
    <w:p>
      <w:pPr>
        <w:pStyle w:val="ListParagraph"/>
        <w:numPr>
          <w:ilvl w:val="0"/>
          <w:numId w:val="2"/>
        </w:numPr>
        <w:spacing w:after="80"/>
      </w:pPr>
      <w:r>
        <w:rPr>
          <w:rFonts w:ascii="Arial" w:cs="Arial" w:eastAsia="Arial" w:hAnsi="Arial"/>
          <w:b/>
          <w:bCs/>
          <w:sz w:val="22"/>
          <w:szCs w:val="22"/>
        </w:rPr>
        <w:t xml:space="preserve">F: Confidence</w:t>
      </w:r>
      <w:r>
        <w:rPr>
          <w:rFonts w:ascii="Arial" w:cs="Arial" w:eastAsia="Arial" w:hAnsi="Arial"/>
          <w:sz w:val="22"/>
          <w:szCs w:val="22"/>
        </w:rPr>
        <w:t xml:space="preserve"> — dropdown: High / Medium / Low. Sample: High</w:t>
      </w:r>
    </w:p>
    <w:p>
      <w:pPr>
        <w:pStyle w:val="ListParagraph"/>
        <w:numPr>
          <w:ilvl w:val="0"/>
          <w:numId w:val="2"/>
        </w:numPr>
        <w:spacing w:after="80"/>
      </w:pPr>
      <w:r>
        <w:rPr>
          <w:rFonts w:ascii="Arial" w:cs="Arial" w:eastAsia="Arial" w:hAnsi="Arial"/>
          <w:b/>
          <w:bCs/>
          <w:sz w:val="22"/>
          <w:szCs w:val="22"/>
        </w:rPr>
        <w:t xml:space="preserve">G: Portfolio Role</w:t>
      </w:r>
      <w:r>
        <w:rPr>
          <w:rFonts w:ascii="Arial" w:cs="Arial" w:eastAsia="Arial" w:hAnsi="Arial"/>
          <w:sz w:val="22"/>
          <w:szCs w:val="22"/>
        </w:rPr>
        <w:t xml:space="preserve"> — narrative. Sample: Income / Tax Shield</w:t>
      </w:r>
    </w:p>
    <w:p>
      <w:pPr>
        <w:pStyle w:val="ListParagraph"/>
        <w:numPr>
          <w:ilvl w:val="0"/>
          <w:numId w:val="2"/>
        </w:numPr>
        <w:spacing w:after="80"/>
      </w:pPr>
      <w:r>
        <w:rPr>
          <w:rFonts w:ascii="Arial" w:cs="Arial" w:eastAsia="Arial" w:hAnsi="Arial"/>
          <w:b/>
          <w:bCs/>
          <w:sz w:val="22"/>
          <w:szCs w:val="22"/>
        </w:rPr>
        <w:t xml:space="preserve">H: Killer Risk</w:t>
      </w:r>
      <w:r>
        <w:rPr>
          <w:rFonts w:ascii="Arial" w:cs="Arial" w:eastAsia="Arial" w:hAnsi="Arial"/>
          <w:sz w:val="22"/>
          <w:szCs w:val="22"/>
        </w:rPr>
        <w:t xml:space="preserve"> — the one thing that could blow this up. Sample: "Illiquidity / RE cycle risk"</w:t>
      </w:r>
    </w:p>
    <w:p>
      <w:pPr>
        <w:pStyle w:val="ListParagraph"/>
        <w:numPr>
          <w:ilvl w:val="0"/>
          <w:numId w:val="2"/>
        </w:numPr>
        <w:spacing w:after="80"/>
      </w:pPr>
      <w:r>
        <w:rPr>
          <w:rFonts w:ascii="Arial" w:cs="Arial" w:eastAsia="Arial" w:hAnsi="Arial"/>
          <w:b/>
          <w:bCs/>
          <w:sz w:val="22"/>
          <w:szCs w:val="22"/>
        </w:rPr>
        <w:t xml:space="preserve">I: Regret Resistant</w:t>
      </w:r>
      <w:r>
        <w:rPr>
          <w:rFonts w:ascii="Arial" w:cs="Arial" w:eastAsia="Arial" w:hAnsi="Arial"/>
          <w:sz w:val="22"/>
          <w:szCs w:val="22"/>
        </w:rPr>
        <w:t xml:space="preserve"> — free text. Sample: "Yes — strong cash flow + tax shield"</w:t>
      </w:r>
    </w:p>
    <w:p>
      <w:pPr>
        <w:pStyle w:val="ListParagraph"/>
        <w:numPr>
          <w:ilvl w:val="0"/>
          <w:numId w:val="2"/>
        </w:numPr>
        <w:spacing w:after="80"/>
      </w:pPr>
      <w:r>
        <w:rPr>
          <w:rFonts w:ascii="Arial" w:cs="Arial" w:eastAsia="Arial" w:hAnsi="Arial"/>
          <w:b/>
          <w:bCs/>
          <w:sz w:val="22"/>
          <w:szCs w:val="22"/>
        </w:rPr>
        <w:t xml:space="preserve">J, K: Sizing Low / High ($)</w:t>
      </w:r>
      <w:r>
        <w:rPr>
          <w:rFonts w:ascii="Arial" w:cs="Arial" w:eastAsia="Arial" w:hAnsi="Arial"/>
          <w:sz w:val="22"/>
          <w:szCs w:val="22"/>
        </w:rPr>
        <w:t xml:space="preserve"> — your sizing band for this kind of deal. Sample: 25000 / 75000</w:t>
      </w:r>
    </w:p>
    <w:p>
      <w:pPr>
        <w:pStyle w:val="Heading2"/>
        <w:spacing w:after="140" w:before="280"/>
      </w:pPr>
      <w:r>
        <w:rPr>
          <w:rFonts w:ascii="Arial" w:cs="Arial" w:eastAsia="Arial" w:hAnsi="Arial"/>
          <w:b/>
          <w:bCs/>
          <w:color w:val="1A1A1A"/>
          <w:sz w:val="26"/>
          <w:szCs w:val="26"/>
        </w:rPr>
        <w:t xml:space="preserve">3.3 — Log the cashflow events on the CashFlows tab</w:t>
      </w:r>
    </w:p>
    <w:p>
      <w:pPr>
        <w:spacing w:after="120"/>
      </w:pPr>
      <w:r>
        <w:rPr>
          <w:rFonts w:ascii="Arial" w:cs="Arial" w:eastAsia="Arial" w:hAnsi="Arial"/>
          <w:sz w:val="22"/>
          <w:szCs w:val="22"/>
        </w:rPr>
        <w:t xml:space="preserve">Switch to the CashFlows tab. Each </w:t>
      </w:r>
      <w:r>
        <w:rPr>
          <w:rFonts w:ascii="Arial" w:cs="Arial" w:eastAsia="Arial" w:hAnsi="Arial"/>
          <w:b/>
          <w:bCs/>
          <w:sz w:val="22"/>
          <w:szCs w:val="22"/>
        </w:rPr>
        <w:t xml:space="preserve">event</w:t>
      </w:r>
      <w:r>
        <w:rPr>
          <w:rFonts w:ascii="Arial" w:cs="Arial" w:eastAsia="Arial" w:hAnsi="Arial"/>
          <w:sz w:val="22"/>
          <w:szCs w:val="22"/>
        </w:rPr>
        <w:t xml:space="preserve"> is one row — a single capital call, a single distribution, one fee. Our sample deal has just one event so far (the August 2025 funding); future distributions will each become their own row as they happen.</w:t>
      </w:r>
    </w:p>
    <w:p>
      <w:pPr>
        <w:spacing w:after="120"/>
      </w:pPr>
      <w:r>
        <w:rPr>
          <w:rFonts w:ascii="Arial" w:cs="Arial" w:eastAsia="Arial" w:hAnsi="Arial"/>
          <w:sz w:val="22"/>
          <w:szCs w:val="22"/>
        </w:rPr>
        <w:t xml:space="preserve">Go to row 6 (the first empty row). Add the funding event:</w:t>
      </w:r>
    </w:p>
    <w:p>
      <w:pPr>
        <w:pStyle w:val="ListParagraph"/>
        <w:numPr>
          <w:ilvl w:val="0"/>
          <w:numId w:val="2"/>
        </w:numPr>
        <w:spacing w:after="80"/>
      </w:pPr>
      <w:r>
        <w:rPr>
          <w:rFonts w:ascii="Arial" w:cs="Arial" w:eastAsia="Arial" w:hAnsi="Arial"/>
          <w:b/>
          <w:bCs/>
          <w:sz w:val="22"/>
          <w:szCs w:val="22"/>
        </w:rPr>
        <w:t xml:space="preserve">A: Date</w:t>
      </w:r>
      <w:r>
        <w:rPr>
          <w:rFonts w:ascii="Arial" w:cs="Arial" w:eastAsia="Arial" w:hAnsi="Arial"/>
          <w:sz w:val="22"/>
          <w:szCs w:val="22"/>
        </w:rPr>
        <w:t xml:space="preserve"> — 8/4/2025 (when the wire cleared)</w:t>
      </w:r>
    </w:p>
    <w:p>
      <w:pPr>
        <w:pStyle w:val="ListParagraph"/>
        <w:numPr>
          <w:ilvl w:val="0"/>
          <w:numId w:val="2"/>
        </w:numPr>
        <w:spacing w:after="80"/>
      </w:pPr>
      <w:r>
        <w:rPr>
          <w:rFonts w:ascii="Arial" w:cs="Arial" w:eastAsia="Arial" w:hAnsi="Arial"/>
          <w:b/>
          <w:bCs/>
          <w:sz w:val="22"/>
          <w:szCs w:val="22"/>
        </w:rPr>
        <w:t xml:space="preserve">B: Deal Name</w:t>
      </w:r>
      <w:r>
        <w:rPr>
          <w:rFonts w:ascii="Arial" w:cs="Arial" w:eastAsia="Arial" w:hAnsi="Arial"/>
          <w:sz w:val="22"/>
          <w:szCs w:val="22"/>
        </w:rPr>
        <w:t xml:space="preserve"> — pick from the dropdown. "Brickyard Lofts Fund III" should appear because it's now on your Investments sheet.</w:t>
      </w:r>
    </w:p>
    <w:p>
      <w:pPr>
        <w:pStyle w:val="ListParagraph"/>
        <w:numPr>
          <w:ilvl w:val="0"/>
          <w:numId w:val="2"/>
        </w:numPr>
        <w:spacing w:after="80"/>
      </w:pPr>
      <w:r>
        <w:rPr>
          <w:rFonts w:ascii="Arial" w:cs="Arial" w:eastAsia="Arial" w:hAnsi="Arial"/>
          <w:b/>
          <w:bCs/>
          <w:sz w:val="22"/>
          <w:szCs w:val="22"/>
        </w:rPr>
        <w:t xml:space="preserve">C: Account Type</w:t>
      </w:r>
      <w:r>
        <w:rPr>
          <w:rFonts w:ascii="Arial" w:cs="Arial" w:eastAsia="Arial" w:hAnsi="Arial"/>
          <w:sz w:val="22"/>
          <w:szCs w:val="22"/>
        </w:rPr>
        <w:t xml:space="preserve"> — dropdown. Sample: SDIRA</w:t>
      </w:r>
    </w:p>
    <w:p>
      <w:pPr>
        <w:pStyle w:val="ListParagraph"/>
        <w:numPr>
          <w:ilvl w:val="0"/>
          <w:numId w:val="2"/>
        </w:numPr>
        <w:spacing w:after="80"/>
      </w:pPr>
      <w:r>
        <w:rPr>
          <w:rFonts w:ascii="Arial" w:cs="Arial" w:eastAsia="Arial" w:hAnsi="Arial"/>
          <w:b/>
          <w:bCs/>
          <w:sz w:val="22"/>
          <w:szCs w:val="22"/>
        </w:rPr>
        <w:t xml:space="preserve">D: Flow Type</w:t>
      </w:r>
      <w:r>
        <w:rPr>
          <w:rFonts w:ascii="Arial" w:cs="Arial" w:eastAsia="Arial" w:hAnsi="Arial"/>
          <w:sz w:val="22"/>
          <w:szCs w:val="22"/>
        </w:rPr>
        <w:t xml:space="preserve"> — dropdown. Sample: Capital Call (the initial funding is a capital call)</w:t>
      </w:r>
    </w:p>
    <w:p>
      <w:pPr>
        <w:pStyle w:val="ListParagraph"/>
        <w:numPr>
          <w:ilvl w:val="0"/>
          <w:numId w:val="2"/>
        </w:numPr>
        <w:spacing w:after="80"/>
      </w:pPr>
      <w:r>
        <w:rPr>
          <w:rFonts w:ascii="Arial" w:cs="Arial" w:eastAsia="Arial" w:hAnsi="Arial"/>
          <w:b/>
          <w:bCs/>
          <w:sz w:val="22"/>
          <w:szCs w:val="22"/>
        </w:rPr>
        <w:t xml:space="preserve">E: Amount</w:t>
      </w:r>
      <w:r>
        <w:rPr>
          <w:rFonts w:ascii="Arial" w:cs="Arial" w:eastAsia="Arial" w:hAnsi="Arial"/>
          <w:sz w:val="22"/>
          <w:szCs w:val="22"/>
        </w:rPr>
        <w:t xml:space="preserve"> — </w:t>
      </w:r>
      <w:r>
        <w:rPr>
          <w:rFonts w:ascii="Arial" w:cs="Arial" w:eastAsia="Arial" w:hAnsi="Arial"/>
          <w:b/>
          <w:bCs/>
          <w:sz w:val="22"/>
          <w:szCs w:val="22"/>
        </w:rPr>
        <w:t xml:space="preserve">NEGATIVE</w:t>
      </w:r>
      <w:r>
        <w:rPr>
          <w:rFonts w:ascii="Arial" w:cs="Arial" w:eastAsia="Arial" w:hAnsi="Arial"/>
          <w:sz w:val="22"/>
          <w:szCs w:val="22"/>
        </w:rPr>
        <w:t xml:space="preserve"> for outflows. Sample: -50000</w:t>
      </w:r>
    </w:p>
    <w:p>
      <w:pPr>
        <w:pStyle w:val="ListParagraph"/>
        <w:numPr>
          <w:ilvl w:val="0"/>
          <w:numId w:val="2"/>
        </w:numPr>
        <w:spacing w:after="80"/>
      </w:pPr>
      <w:r>
        <w:rPr>
          <w:rFonts w:ascii="Arial" w:cs="Arial" w:eastAsia="Arial" w:hAnsi="Arial"/>
          <w:b/>
          <w:bCs/>
          <w:sz w:val="22"/>
          <w:szCs w:val="22"/>
        </w:rPr>
        <w:t xml:space="preserve">F: Notes</w:t>
      </w:r>
      <w:r>
        <w:rPr>
          <w:rFonts w:ascii="Arial" w:cs="Arial" w:eastAsia="Arial" w:hAnsi="Arial"/>
          <w:sz w:val="22"/>
          <w:szCs w:val="22"/>
        </w:rPr>
        <w:t xml:space="preserve"> — optional. Sample: "Initial funding"</w:t>
      </w:r>
    </w:p>
    <w:p>
      <w:pPr>
        <w:pStyle w:val="ListParagraph"/>
        <w:numPr>
          <w:ilvl w:val="0"/>
          <w:numId w:val="2"/>
        </w:numPr>
        <w:spacing w:after="80"/>
      </w:pPr>
      <w:r>
        <w:rPr>
          <w:rFonts w:ascii="Arial" w:cs="Arial" w:eastAsia="Arial" w:hAnsi="Arial"/>
          <w:b/>
          <w:bCs/>
          <w:sz w:val="22"/>
          <w:szCs w:val="22"/>
        </w:rPr>
        <w:t xml:space="preserve">G: Call Type</w:t>
      </w:r>
      <w:r>
        <w:rPr>
          <w:rFonts w:ascii="Arial" w:cs="Arial" w:eastAsia="Arial" w:hAnsi="Arial"/>
          <w:sz w:val="22"/>
          <w:szCs w:val="22"/>
        </w:rPr>
        <w:t xml:space="preserve"> — auto-fills with "Initial" since this is the first capital call for this deal. Don't touch.</w:t>
      </w:r>
    </w:p>
    <w:p>
      <w:pPr>
        <w:pBdr>
          <w:left w:val="single" w:color="B8743A" w:sz="16" w:space="8"/>
        </w:pBdr>
        <w:spacing w:after="180" w:before="120"/>
        <w:ind w:left="360"/>
      </w:pPr>
      <w:r>
        <w:rPr>
          <w:rFonts w:ascii="Arial" w:cs="Arial" w:eastAsia="Arial" w:hAnsi="Arial"/>
          <w:b/>
          <w:bCs/>
          <w:color w:val="B8743A"/>
          <w:sz w:val="22"/>
          <w:szCs w:val="22"/>
        </w:rPr>
        <w:t xml:space="preserve">Heads up. </w:t>
      </w:r>
      <w:r>
        <w:rPr>
          <w:rFonts w:ascii="Arial" w:cs="Arial" w:eastAsia="Arial" w:hAnsi="Arial"/>
          <w:sz w:val="22"/>
          <w:szCs w:val="22"/>
        </w:rPr>
        <w:t xml:space="preserve">The </w:t>
      </w:r>
      <w:r>
        <w:rPr>
          <w:rFonts w:ascii="Arial" w:cs="Arial" w:eastAsia="Arial" w:hAnsi="Arial"/>
          <w:b/>
          <w:bCs/>
          <w:sz w:val="22"/>
          <w:szCs w:val="22"/>
        </w:rPr>
        <w:t xml:space="preserve">sign convention is critical</w:t>
      </w:r>
      <w:r>
        <w:rPr>
          <w:rFonts w:ascii="Arial" w:cs="Arial" w:eastAsia="Arial" w:hAnsi="Arial"/>
          <w:sz w:val="22"/>
          <w:szCs w:val="22"/>
        </w:rPr>
        <w:t xml:space="preserve">: capital calls and fees are </w:t>
      </w:r>
      <w:r>
        <w:rPr>
          <w:rFonts w:ascii="Arial" w:cs="Arial" w:eastAsia="Arial" w:hAnsi="Arial"/>
          <w:b/>
          <w:bCs/>
          <w:sz w:val="22"/>
          <w:szCs w:val="22"/>
        </w:rPr>
        <w:t xml:space="preserve">negative</w:t>
      </w:r>
      <w:r>
        <w:rPr>
          <w:rFonts w:ascii="Arial" w:cs="Arial" w:eastAsia="Arial" w:hAnsi="Arial"/>
          <w:sz w:val="22"/>
          <w:szCs w:val="22"/>
        </w:rPr>
        <w:t xml:space="preserve">, distributions and returns of capital are </w:t>
      </w:r>
      <w:r>
        <w:rPr>
          <w:rFonts w:ascii="Arial" w:cs="Arial" w:eastAsia="Arial" w:hAnsi="Arial"/>
          <w:b/>
          <w:bCs/>
          <w:sz w:val="22"/>
          <w:szCs w:val="22"/>
        </w:rPr>
        <w:t xml:space="preserve">positive</w:t>
      </w:r>
      <w:r>
        <w:rPr>
          <w:rFonts w:ascii="Arial" w:cs="Arial" w:eastAsia="Arial" w:hAnsi="Arial"/>
          <w:sz w:val="22"/>
          <w:szCs w:val="22"/>
        </w:rPr>
        <w:t xml:space="preserve">. The dashboard uses these signs to compute net cashflow. Using the wrong sign will make distributions look like outflows or vice versa.</w:t>
      </w:r>
    </w:p>
    <w:p>
      <w:pPr>
        <w:spacing w:after="120"/>
      </w:pPr>
      <w:r>
        <w:rPr>
          <w:rFonts w:ascii="Arial" w:cs="Arial" w:eastAsia="Arial" w:hAnsi="Arial"/>
          <w:sz w:val="22"/>
          <w:szCs w:val="22"/>
        </w:rPr>
        <w:t xml:space="preserve">When the first quarterly distribution arrives in June 2026, you'll add another row:</w:t>
      </w:r>
    </w:p>
    <w:p>
      <w:pPr>
        <w:pStyle w:val="ListParagraph"/>
        <w:numPr>
          <w:ilvl w:val="0"/>
          <w:numId w:val="2"/>
        </w:numPr>
        <w:spacing w:after="80"/>
      </w:pPr>
      <w:r>
        <w:rPr>
          <w:rFonts w:ascii="Arial" w:cs="Arial" w:eastAsia="Arial" w:hAnsi="Arial"/>
          <w:b/>
          <w:bCs/>
          <w:sz w:val="22"/>
          <w:szCs w:val="22"/>
        </w:rPr>
        <w:t xml:space="preserve">A:</w:t>
      </w:r>
      <w:r>
        <w:rPr>
          <w:rFonts w:ascii="Arial" w:cs="Arial" w:eastAsia="Arial" w:hAnsi="Arial"/>
          <w:sz w:val="22"/>
          <w:szCs w:val="22"/>
        </w:rPr>
        <w:t xml:space="preserve"> 6/1/2026, </w:t>
      </w:r>
      <w:r>
        <w:rPr>
          <w:rFonts w:ascii="Arial" w:cs="Arial" w:eastAsia="Arial" w:hAnsi="Arial"/>
          <w:b/>
          <w:bCs/>
          <w:sz w:val="22"/>
          <w:szCs w:val="22"/>
        </w:rPr>
        <w:t xml:space="preserve">B:</w:t>
      </w:r>
      <w:r>
        <w:rPr>
          <w:rFonts w:ascii="Arial" w:cs="Arial" w:eastAsia="Arial" w:hAnsi="Arial"/>
          <w:sz w:val="22"/>
          <w:szCs w:val="22"/>
        </w:rPr>
        <w:t xml:space="preserve"> Brickyard Lofts Fund III, </w:t>
      </w:r>
      <w:r>
        <w:rPr>
          <w:rFonts w:ascii="Arial" w:cs="Arial" w:eastAsia="Arial" w:hAnsi="Arial"/>
          <w:b/>
          <w:bCs/>
          <w:sz w:val="22"/>
          <w:szCs w:val="22"/>
        </w:rPr>
        <w:t xml:space="preserve">C:</w:t>
      </w:r>
      <w:r>
        <w:rPr>
          <w:rFonts w:ascii="Arial" w:cs="Arial" w:eastAsia="Arial" w:hAnsi="Arial"/>
          <w:sz w:val="22"/>
          <w:szCs w:val="22"/>
        </w:rPr>
        <w:t xml:space="preserve"> SDIRA, </w:t>
      </w:r>
      <w:r>
        <w:rPr>
          <w:rFonts w:ascii="Arial" w:cs="Arial" w:eastAsia="Arial" w:hAnsi="Arial"/>
          <w:b/>
          <w:bCs/>
          <w:sz w:val="22"/>
          <w:szCs w:val="22"/>
        </w:rPr>
        <w:t xml:space="preserve">D:</w:t>
      </w:r>
      <w:r>
        <w:rPr>
          <w:rFonts w:ascii="Arial" w:cs="Arial" w:eastAsia="Arial" w:hAnsi="Arial"/>
          <w:sz w:val="22"/>
          <w:szCs w:val="22"/>
        </w:rPr>
        <w:t xml:space="preserve"> Distribution, </w:t>
      </w:r>
      <w:r>
        <w:rPr>
          <w:rFonts w:ascii="Arial" w:cs="Arial" w:eastAsia="Arial" w:hAnsi="Arial"/>
          <w:b/>
          <w:bCs/>
          <w:sz w:val="22"/>
          <w:szCs w:val="22"/>
        </w:rPr>
        <w:t xml:space="preserve">E:</w:t>
      </w:r>
      <w:r>
        <w:rPr>
          <w:rFonts w:ascii="Arial" w:cs="Arial" w:eastAsia="Arial" w:hAnsi="Arial"/>
          <w:sz w:val="22"/>
          <w:szCs w:val="22"/>
        </w:rPr>
        <w:t xml:space="preserve"> 750, </w:t>
      </w:r>
      <w:r>
        <w:rPr>
          <w:rFonts w:ascii="Arial" w:cs="Arial" w:eastAsia="Arial" w:hAnsi="Arial"/>
          <w:b/>
          <w:bCs/>
          <w:sz w:val="22"/>
          <w:szCs w:val="22"/>
        </w:rPr>
        <w:t xml:space="preserve">F:</w:t>
      </w:r>
      <w:r>
        <w:rPr>
          <w:rFonts w:ascii="Arial" w:cs="Arial" w:eastAsia="Arial" w:hAnsi="Arial"/>
          <w:sz w:val="22"/>
          <w:szCs w:val="22"/>
        </w:rPr>
        <w:t xml:space="preserve"> "Q2 2026 distribution"</w:t>
      </w:r>
    </w:p>
    <w:p>
      <w:pPr>
        <w:spacing w:after="120"/>
      </w:pPr>
      <w:r>
        <w:rPr>
          <w:rFonts w:ascii="Arial" w:cs="Arial" w:eastAsia="Arial" w:hAnsi="Arial"/>
          <w:b/>
          <w:bCs/>
          <w:sz w:val="22"/>
          <w:szCs w:val="22"/>
        </w:rPr>
        <w:t xml:space="preserve">Save the file.</w:t>
      </w:r>
      <w:r>
        <w:rPr>
          <w:rFonts w:ascii="Arial" w:cs="Arial" w:eastAsia="Arial" w:hAnsi="Arial"/>
          <w:sz w:val="22"/>
          <w:szCs w:val="22"/>
        </w:rPr>
        <w:t xml:space="preserve"> The deal is now fully entered.</w:t>
      </w:r>
    </w:p>
    <w:p>
      <w:pPr>
        <w:pBdr>
          <w:bottom w:val="single" w:color="888888" w:sz="6" w:space="6"/>
        </w:pBdr>
        <w:spacing w:after="240" w:before="120"/>
      </w:pPr>
    </w:p>
    <w:p>
      <w:pPr>
        <w:pStyle w:val="Heading1"/>
        <w:spacing w:after="180" w:before="360"/>
      </w:pPr>
      <w:r>
        <w:rPr>
          <w:rFonts w:ascii="Arial" w:cs="Arial" w:eastAsia="Arial" w:hAnsi="Arial"/>
          <w:b/>
          <w:bCs/>
          <w:color w:val="1A1A1A"/>
          <w:sz w:val="32"/>
          <w:szCs w:val="32"/>
        </w:rPr>
        <w:t xml:space="preserve">4 — Verify it worked (1 minute)</w:t>
      </w:r>
    </w:p>
    <w:p>
      <w:pPr>
        <w:spacing w:after="120"/>
      </w:pPr>
      <w:r>
        <w:rPr>
          <w:rFonts w:ascii="Arial" w:cs="Arial" w:eastAsia="Arial" w:hAnsi="Arial"/>
          <w:sz w:val="22"/>
          <w:szCs w:val="22"/>
        </w:rPr>
        <w:t xml:space="preserve">Open the GC Private Markets Dashboard (HTML file in your browser, or live URL). Click </w:t>
      </w:r>
      <w:r>
        <w:rPr>
          <w:rFonts w:ascii="Arial" w:cs="Arial" w:eastAsia="Arial" w:hAnsi="Arial"/>
          <w:b/>
          <w:bCs/>
          <w:sz w:val="22"/>
          <w:szCs w:val="22"/>
        </w:rPr>
        <w:t xml:space="preserve">⟲ Sync Tracker</w:t>
      </w:r>
      <w:r>
        <w:rPr>
          <w:rFonts w:ascii="Arial" w:cs="Arial" w:eastAsia="Arial" w:hAnsi="Arial"/>
          <w:sz w:val="22"/>
          <w:szCs w:val="22"/>
        </w:rPr>
        <w:t xml:space="preserve"> in the top-right. Drag your tracker .xlsx onto the drop zone.</w:t>
      </w:r>
    </w:p>
    <w:p>
      <w:pPr>
        <w:spacing w:after="120"/>
      </w:pPr>
      <w:r>
        <w:rPr>
          <w:rFonts w:ascii="Arial" w:cs="Arial" w:eastAsia="Arial" w:hAnsi="Arial"/>
          <w:sz w:val="22"/>
          <w:szCs w:val="22"/>
        </w:rPr>
        <w:t xml:space="preserve">If everything's connected correctly, you should see:</w:t>
      </w:r>
    </w:p>
    <w:p>
      <w:pPr>
        <w:pStyle w:val="ListParagraph"/>
        <w:numPr>
          <w:ilvl w:val="0"/>
          <w:numId w:val="2"/>
        </w:numPr>
        <w:spacing w:after="80"/>
      </w:pPr>
      <w:r>
        <w:rPr>
          <w:rFonts w:ascii="Arial" w:cs="Arial" w:eastAsia="Arial" w:hAnsi="Arial"/>
          <w:sz w:val="22"/>
          <w:szCs w:val="22"/>
        </w:rPr>
        <w:t xml:space="preserve">Your deal appears in the right asset class section of the Deal Cards.</w:t>
      </w:r>
    </w:p>
    <w:p>
      <w:pPr>
        <w:pStyle w:val="ListParagraph"/>
        <w:numPr>
          <w:ilvl w:val="0"/>
          <w:numId w:val="2"/>
        </w:numPr>
        <w:spacing w:after="80"/>
      </w:pPr>
      <w:r>
        <w:rPr>
          <w:rFonts w:ascii="Arial" w:cs="Arial" w:eastAsia="Arial" w:hAnsi="Arial"/>
          <w:sz w:val="22"/>
          <w:szCs w:val="22"/>
        </w:rPr>
        <w:t xml:space="preserve">The KPI strip up top shows your Committed, Funded, etc. totals updated.</w:t>
      </w:r>
    </w:p>
    <w:p>
      <w:pPr>
        <w:pStyle w:val="ListParagraph"/>
        <w:numPr>
          <w:ilvl w:val="0"/>
          <w:numId w:val="2"/>
        </w:numPr>
        <w:spacing w:after="80"/>
      </w:pPr>
      <w:r>
        <w:rPr>
          <w:rFonts w:ascii="Arial" w:cs="Arial" w:eastAsia="Arial" w:hAnsi="Arial"/>
          <w:sz w:val="22"/>
          <w:szCs w:val="22"/>
        </w:rPr>
        <w:t xml:space="preserve">The Allocation donut shows the new asset class slice.</w:t>
      </w:r>
    </w:p>
    <w:p>
      <w:pPr>
        <w:pStyle w:val="ListParagraph"/>
        <w:numPr>
          <w:ilvl w:val="0"/>
          <w:numId w:val="2"/>
        </w:numPr>
        <w:spacing w:after="80"/>
      </w:pPr>
      <w:r>
        <w:rPr>
          <w:rFonts w:ascii="Arial" w:cs="Arial" w:eastAsia="Arial" w:hAnsi="Arial"/>
          <w:sz w:val="22"/>
          <w:szCs w:val="22"/>
        </w:rPr>
        <w:t xml:space="preserve">If you logged a cashflow, the Capital Call &amp; Distribution Flow chart shows a bar in the appropriate quarter.</w:t>
      </w:r>
    </w:p>
    <w:p>
      <w:pPr>
        <w:pStyle w:val="ListParagraph"/>
        <w:numPr>
          <w:ilvl w:val="0"/>
          <w:numId w:val="2"/>
        </w:numPr>
        <w:spacing w:after="80"/>
      </w:pPr>
      <w:r>
        <w:rPr>
          <w:rFonts w:ascii="Arial" w:cs="Arial" w:eastAsia="Arial" w:hAnsi="Arial"/>
          <w:sz w:val="22"/>
          <w:szCs w:val="22"/>
        </w:rPr>
        <w:t xml:space="preserve">Clicking your deal card expands it and shows the qualitative fields you entered on GC_Framework — R-code, conviction tier, killer risk, etc.</w:t>
      </w:r>
    </w:p>
    <w:p>
      <w:pPr>
        <w:spacing w:after="120"/>
      </w:pPr>
      <w:r>
        <w:rPr>
          <w:rFonts w:ascii="Arial" w:cs="Arial" w:eastAsia="Arial" w:hAnsi="Arial"/>
          <w:sz w:val="22"/>
          <w:szCs w:val="22"/>
        </w:rPr>
        <w:t xml:space="preserve">If </w:t>
      </w:r>
      <w:r>
        <w:rPr>
          <w:rFonts w:ascii="Arial" w:cs="Arial" w:eastAsia="Arial" w:hAnsi="Arial"/>
          <w:b/>
          <w:bCs/>
          <w:sz w:val="22"/>
          <w:szCs w:val="22"/>
        </w:rPr>
        <w:t xml:space="preserve">any</w:t>
      </w:r>
      <w:r>
        <w:rPr>
          <w:rFonts w:ascii="Arial" w:cs="Arial" w:eastAsia="Arial" w:hAnsi="Arial"/>
          <w:sz w:val="22"/>
          <w:szCs w:val="22"/>
        </w:rPr>
        <w:t xml:space="preserve"> of those don't match, see the troubleshooting section below.</w:t>
      </w:r>
    </w:p>
    <w:p>
      <w:pPr>
        <w:pBdr>
          <w:bottom w:val="single" w:color="888888" w:sz="6" w:space="6"/>
        </w:pBdr>
        <w:spacing w:after="240" w:before="120"/>
      </w:pPr>
    </w:p>
    <w:p>
      <w:pPr>
        <w:pStyle w:val="Heading1"/>
        <w:spacing w:after="180" w:before="360"/>
      </w:pPr>
      <w:r>
        <w:rPr>
          <w:rFonts w:ascii="Arial" w:cs="Arial" w:eastAsia="Arial" w:hAnsi="Arial"/>
          <w:b/>
          <w:bCs/>
          <w:color w:val="1A1A1A"/>
          <w:sz w:val="32"/>
          <w:szCs w:val="32"/>
        </w:rPr>
        <w:t xml:space="preserve">5 — Troubleshooting</w:t>
      </w:r>
    </w:p>
    <w:p>
      <w:pPr>
        <w:pStyle w:val="Heading2"/>
        <w:spacing w:after="140" w:before="280"/>
      </w:pPr>
      <w:r>
        <w:rPr>
          <w:rFonts w:ascii="Arial" w:cs="Arial" w:eastAsia="Arial" w:hAnsi="Arial"/>
          <w:b/>
          <w:bCs/>
          <w:color w:val="1A1A1A"/>
          <w:sz w:val="26"/>
          <w:szCs w:val="26"/>
        </w:rPr>
        <w:t xml:space="preserve">My deal shows up but the qualitative fields are blank</w:t>
      </w:r>
    </w:p>
    <w:p>
      <w:pPr>
        <w:spacing w:after="120"/>
      </w:pPr>
      <w:r>
        <w:rPr>
          <w:rFonts w:ascii="Arial" w:cs="Arial" w:eastAsia="Arial" w:hAnsi="Arial"/>
          <w:sz w:val="22"/>
          <w:szCs w:val="22"/>
        </w:rPr>
        <w:t xml:space="preserve">Almost certainly a Deal ID mismatch. Open both tabs side by side, look at column A of Investments and column A of GC_Framework, and verify they match exactly — same case, same hyphens, same digits, no leading or trailing spaces.</w:t>
      </w:r>
    </w:p>
    <w:p>
      <w:pPr>
        <w:pStyle w:val="Heading2"/>
        <w:spacing w:after="140" w:before="280"/>
      </w:pPr>
      <w:r>
        <w:rPr>
          <w:rFonts w:ascii="Arial" w:cs="Arial" w:eastAsia="Arial" w:hAnsi="Arial"/>
          <w:b/>
          <w:bCs/>
          <w:color w:val="1A1A1A"/>
          <w:sz w:val="26"/>
          <w:szCs w:val="26"/>
        </w:rPr>
        <w:t xml:space="preserve">I see #REF! errors after editing</w:t>
      </w:r>
    </w:p>
    <w:p>
      <w:pPr>
        <w:spacing w:after="120"/>
      </w:pPr>
      <w:r>
        <w:rPr>
          <w:rFonts w:ascii="Arial" w:cs="Arial" w:eastAsia="Arial" w:hAnsi="Arial"/>
          <w:sz w:val="22"/>
          <w:szCs w:val="22"/>
        </w:rPr>
        <w:t xml:space="preserve">You probably deleted a row that a formula depended on. Press </w:t>
      </w:r>
      <w:r>
        <w:rPr>
          <w:rFonts w:ascii="Consolas" w:cs="Consolas" w:eastAsia="Consolas" w:hAnsi="Consolas"/>
          <w:sz w:val="20"/>
          <w:szCs w:val="20"/>
        </w:rPr>
        <w:t xml:space="preserve">Ctrl+Z</w:t>
      </w:r>
      <w:r>
        <w:rPr>
          <w:rFonts w:ascii="Arial" w:cs="Arial" w:eastAsia="Arial" w:hAnsi="Arial"/>
          <w:sz w:val="22"/>
          <w:szCs w:val="22"/>
        </w:rPr>
        <w:t xml:space="preserve"> / </w:t>
      </w:r>
      <w:r>
        <w:rPr>
          <w:rFonts w:ascii="Consolas" w:cs="Consolas" w:eastAsia="Consolas" w:hAnsi="Consolas"/>
          <w:sz w:val="20"/>
          <w:szCs w:val="20"/>
        </w:rPr>
        <w:t xml:space="preserve">Cmd+Z</w:t>
      </w:r>
      <w:r>
        <w:rPr>
          <w:rFonts w:ascii="Arial" w:cs="Arial" w:eastAsia="Arial" w:hAnsi="Arial"/>
          <w:sz w:val="22"/>
          <w:szCs w:val="22"/>
        </w:rPr>
        <w:t xml:space="preserve"> to undo. Going forward, always use </w:t>
      </w:r>
      <w:r>
        <w:rPr>
          <w:rFonts w:ascii="Arial" w:cs="Arial" w:eastAsia="Arial" w:hAnsi="Arial"/>
          <w:b/>
          <w:bCs/>
          <w:sz w:val="22"/>
          <w:szCs w:val="22"/>
        </w:rPr>
        <w:t xml:space="preserve">Clear Contents</w:t>
      </w:r>
      <w:r>
        <w:rPr>
          <w:rFonts w:ascii="Arial" w:cs="Arial" w:eastAsia="Arial" w:hAnsi="Arial"/>
          <w:sz w:val="22"/>
          <w:szCs w:val="22"/>
        </w:rPr>
        <w:t xml:space="preserve"> instead of </w:t>
      </w:r>
      <w:r>
        <w:rPr>
          <w:rFonts w:ascii="Arial" w:cs="Arial" w:eastAsia="Arial" w:hAnsi="Arial"/>
          <w:b/>
          <w:bCs/>
          <w:sz w:val="22"/>
          <w:szCs w:val="22"/>
        </w:rPr>
        <w:t xml:space="preserve">Delete Row</w:t>
      </w:r>
      <w:r>
        <w:rPr>
          <w:rFonts w:ascii="Arial" w:cs="Arial" w:eastAsia="Arial" w:hAnsi="Arial"/>
          <w:sz w:val="22"/>
          <w:szCs w:val="22"/>
        </w:rPr>
        <w:t xml:space="preserve">.</w:t>
      </w:r>
    </w:p>
    <w:p>
      <w:pPr>
        <w:pStyle w:val="Heading2"/>
        <w:spacing w:after="140" w:before="280"/>
      </w:pPr>
      <w:r>
        <w:rPr>
          <w:rFonts w:ascii="Arial" w:cs="Arial" w:eastAsia="Arial" w:hAnsi="Arial"/>
          <w:b/>
          <w:bCs/>
          <w:color w:val="1A1A1A"/>
          <w:sz w:val="26"/>
          <w:szCs w:val="26"/>
        </w:rPr>
        <w:t xml:space="preserve">Excel says "the cell or chart you're trying to change is on a protected sheet"</w:t>
      </w:r>
    </w:p>
    <w:p>
      <w:pPr>
        <w:spacing w:after="120"/>
      </w:pPr>
      <w:r>
        <w:rPr>
          <w:rFonts w:ascii="Arial" w:cs="Arial" w:eastAsia="Arial" w:hAnsi="Arial"/>
          <w:sz w:val="22"/>
          <w:szCs w:val="22"/>
        </w:rPr>
        <w:t xml:space="preserve">That's the protection working — you tried to type in a grey (formula) cell. Click on a yellow cell instead. If you genuinely need to edit a grey cell (rare), go to </w:t>
      </w:r>
      <w:r>
        <w:rPr>
          <w:rFonts w:ascii="Arial" w:cs="Arial" w:eastAsia="Arial" w:hAnsi="Arial"/>
          <w:b/>
          <w:bCs/>
          <w:sz w:val="22"/>
          <w:szCs w:val="22"/>
        </w:rPr>
        <w:t xml:space="preserve">Review → Unprotect Sheet</w:t>
      </w:r>
      <w:r>
        <w:rPr>
          <w:rFonts w:ascii="Arial" w:cs="Arial" w:eastAsia="Arial" w:hAnsi="Arial"/>
          <w:sz w:val="22"/>
          <w:szCs w:val="22"/>
        </w:rPr>
        <w:t xml:space="preserve">. No password is set.</w:t>
      </w:r>
    </w:p>
    <w:p>
      <w:pPr>
        <w:pStyle w:val="Heading2"/>
        <w:spacing w:after="140" w:before="280"/>
      </w:pPr>
      <w:r>
        <w:rPr>
          <w:rFonts w:ascii="Arial" w:cs="Arial" w:eastAsia="Arial" w:hAnsi="Arial"/>
          <w:b/>
          <w:bCs/>
          <w:color w:val="1A1A1A"/>
          <w:sz w:val="26"/>
          <w:szCs w:val="26"/>
        </w:rPr>
        <w:t xml:space="preserve">My capital calls show as positive numbers on the dashboard</w:t>
      </w:r>
    </w:p>
    <w:p>
      <w:pPr>
        <w:spacing w:after="120"/>
      </w:pPr>
      <w:r>
        <w:rPr>
          <w:rFonts w:ascii="Arial" w:cs="Arial" w:eastAsia="Arial" w:hAnsi="Arial"/>
          <w:sz w:val="22"/>
          <w:szCs w:val="22"/>
        </w:rPr>
        <w:t xml:space="preserve">Your CashFlows column E sign convention is inverted. Capital calls and fees should be </w:t>
      </w:r>
      <w:r>
        <w:rPr>
          <w:rFonts w:ascii="Arial" w:cs="Arial" w:eastAsia="Arial" w:hAnsi="Arial"/>
          <w:b/>
          <w:bCs/>
          <w:sz w:val="22"/>
          <w:szCs w:val="22"/>
        </w:rPr>
        <w:t xml:space="preserve">negative</w:t>
      </w:r>
      <w:r>
        <w:rPr>
          <w:rFonts w:ascii="Arial" w:cs="Arial" w:eastAsia="Arial" w:hAnsi="Arial"/>
          <w:sz w:val="22"/>
          <w:szCs w:val="22"/>
        </w:rPr>
        <w:t xml:space="preserve">. Distributions and returns of capital should be </w:t>
      </w:r>
      <w:r>
        <w:rPr>
          <w:rFonts w:ascii="Arial" w:cs="Arial" w:eastAsia="Arial" w:hAnsi="Arial"/>
          <w:b/>
          <w:bCs/>
          <w:sz w:val="22"/>
          <w:szCs w:val="22"/>
        </w:rPr>
        <w:t xml:space="preserve">positive</w:t>
      </w:r>
      <w:r>
        <w:rPr>
          <w:rFonts w:ascii="Arial" w:cs="Arial" w:eastAsia="Arial" w:hAnsi="Arial"/>
          <w:sz w:val="22"/>
          <w:szCs w:val="22"/>
        </w:rPr>
        <w:t xml:space="preserve">. Find the row(s) with the wrong sign and put a minus sign in front of the number.</w:t>
      </w:r>
    </w:p>
    <w:p>
      <w:pPr>
        <w:pStyle w:val="Heading2"/>
        <w:spacing w:after="140" w:before="280"/>
      </w:pPr>
      <w:r>
        <w:rPr>
          <w:rFonts w:ascii="Arial" w:cs="Arial" w:eastAsia="Arial" w:hAnsi="Arial"/>
          <w:b/>
          <w:bCs/>
          <w:color w:val="1A1A1A"/>
          <w:sz w:val="26"/>
          <w:szCs w:val="26"/>
        </w:rPr>
        <w:t xml:space="preserve">The dashboard's Capital Call &amp; Distribution Flow chart is empty</w:t>
      </w:r>
    </w:p>
    <w:p>
      <w:pPr>
        <w:spacing w:after="120"/>
      </w:pPr>
      <w:r>
        <w:rPr>
          <w:rFonts w:ascii="Arial" w:cs="Arial" w:eastAsia="Arial" w:hAnsi="Arial"/>
          <w:sz w:val="22"/>
          <w:szCs w:val="22"/>
        </w:rPr>
        <w:t xml:space="preserve">Two common causes: (a) you didn't add any rows on the CashFlows tab, or (b) the dates in column A aren't being recognized. Make sure column A contains real Excel dates (the cell shows a date format), not text. If you typed "08/04/2025" and it's left-aligned in the cell, Excel parsed it as text — re-enter as a date.</w:t>
      </w:r>
    </w:p>
    <w:p>
      <w:pPr>
        <w:pStyle w:val="Heading2"/>
        <w:spacing w:after="140" w:before="280"/>
      </w:pPr>
      <w:r>
        <w:rPr>
          <w:rFonts w:ascii="Arial" w:cs="Arial" w:eastAsia="Arial" w:hAnsi="Arial"/>
          <w:b/>
          <w:bCs/>
          <w:color w:val="1A1A1A"/>
          <w:sz w:val="26"/>
          <w:szCs w:val="26"/>
        </w:rPr>
        <w:t xml:space="preserve">My dashboard shows the example data, not my data</w:t>
      </w:r>
    </w:p>
    <w:p>
      <w:pPr>
        <w:spacing w:after="120"/>
      </w:pPr>
      <w:r>
        <w:rPr>
          <w:rFonts w:ascii="Arial" w:cs="Arial" w:eastAsia="Arial" w:hAnsi="Arial"/>
          <w:sz w:val="22"/>
          <w:szCs w:val="22"/>
        </w:rPr>
        <w:t xml:space="preserve">You probably forgot to save the .xlsx file before re-syncing. Save the file, then re-drag onto the dashboard. If you're certain you saved, hit </w:t>
      </w:r>
      <w:r>
        <w:rPr>
          <w:rFonts w:ascii="Arial" w:cs="Arial" w:eastAsia="Arial" w:hAnsi="Arial"/>
          <w:b/>
          <w:bCs/>
          <w:sz w:val="22"/>
          <w:szCs w:val="22"/>
        </w:rPr>
        <w:t xml:space="preserve">⟲ Sync Tracker</w:t>
      </w:r>
      <w:r>
        <w:rPr>
          <w:rFonts w:ascii="Arial" w:cs="Arial" w:eastAsia="Arial" w:hAnsi="Arial"/>
          <w:sz w:val="22"/>
          <w:szCs w:val="22"/>
        </w:rPr>
        <w:t xml:space="preserve"> again with a fresh upload.</w:t>
      </w:r>
    </w:p>
    <w:p>
      <w:pPr>
        <w:pStyle w:val="Heading2"/>
        <w:spacing w:after="140" w:before="280"/>
      </w:pPr>
      <w:r>
        <w:rPr>
          <w:rFonts w:ascii="Arial" w:cs="Arial" w:eastAsia="Arial" w:hAnsi="Arial"/>
          <w:b/>
          <w:bCs/>
          <w:color w:val="1A1A1A"/>
          <w:sz w:val="26"/>
          <w:szCs w:val="26"/>
        </w:rPr>
        <w:t xml:space="preserve">Something's still broken</w:t>
      </w:r>
    </w:p>
    <w:p>
      <w:pPr>
        <w:spacing w:after="120"/>
      </w:pPr>
      <w:r>
        <w:rPr>
          <w:rFonts w:ascii="Arial" w:cs="Arial" w:eastAsia="Arial" w:hAnsi="Arial"/>
          <w:sz w:val="22"/>
          <w:szCs w:val="22"/>
        </w:rPr>
        <w:t xml:space="preserve">Take a screenshot of the issue and post in the GC forum thread, or DM the maintainer. Include: which tab, which cell or row, what you tried to do, and what happened. We'll figure it out.</w:t>
      </w:r>
    </w:p>
    <w:p>
      <w:pPr>
        <w:pBdr>
          <w:bottom w:val="single" w:color="888888" w:sz="6" w:space="6"/>
        </w:pBdr>
        <w:spacing w:after="240" w:before="120"/>
      </w:pPr>
    </w:p>
    <w:p>
      <w:pPr>
        <w:pStyle w:val="Heading1"/>
        <w:spacing w:after="180" w:before="360"/>
      </w:pPr>
      <w:r>
        <w:rPr>
          <w:rFonts w:ascii="Arial" w:cs="Arial" w:eastAsia="Arial" w:hAnsi="Arial"/>
          <w:b/>
          <w:bCs/>
          <w:color w:val="1A1A1A"/>
          <w:sz w:val="32"/>
          <w:szCs w:val="32"/>
        </w:rPr>
        <w:t xml:space="preserve">6 — Quick reference</w:t>
      </w:r>
    </w:p>
    <w:p>
      <w:pPr>
        <w:pStyle w:val="Heading2"/>
        <w:spacing w:after="140" w:before="280"/>
      </w:pPr>
      <w:r>
        <w:rPr>
          <w:rFonts w:ascii="Arial" w:cs="Arial" w:eastAsia="Arial" w:hAnsi="Arial"/>
          <w:b/>
          <w:bCs/>
          <w:color w:val="1A1A1A"/>
          <w:sz w:val="26"/>
          <w:szCs w:val="26"/>
        </w:rPr>
        <w:t xml:space="preserve">The 8 fields that absolutely must be filled</w:t>
      </w:r>
    </w:p>
    <w:p>
      <w:pPr>
        <w:spacing w:after="120"/>
      </w:pPr>
      <w:r>
        <w:rPr>
          <w:rFonts w:ascii="Arial" w:cs="Arial" w:eastAsia="Arial" w:hAnsi="Arial"/>
          <w:sz w:val="22"/>
          <w:szCs w:val="22"/>
        </w:rPr>
        <w:t xml:space="preserve">If you only fill in these 8 fields per deal on the Investments tab, the dashboard will render correctly:</w:t>
      </w:r>
    </w:p>
    <w:p>
      <w:pPr>
        <w:pStyle w:val="ListParagraph"/>
        <w:numPr>
          <w:ilvl w:val="0"/>
          <w:numId w:val="2"/>
        </w:numPr>
        <w:spacing w:after="80"/>
      </w:pPr>
      <w:r>
        <w:rPr>
          <w:rFonts w:ascii="Arial" w:cs="Arial" w:eastAsia="Arial" w:hAnsi="Arial"/>
          <w:b/>
          <w:bCs/>
          <w:sz w:val="22"/>
          <w:szCs w:val="22"/>
        </w:rPr>
        <w:t xml:space="preserve">A: Deal ID</w:t>
      </w:r>
      <w:r>
        <w:rPr>
          <w:rFonts w:ascii="Arial" w:cs="Arial" w:eastAsia="Arial" w:hAnsi="Arial"/>
          <w:sz w:val="22"/>
          <w:szCs w:val="22"/>
        </w:rPr>
        <w:t xml:space="preserve"> — required for linking</w:t>
      </w:r>
    </w:p>
    <w:p>
      <w:pPr>
        <w:pStyle w:val="ListParagraph"/>
        <w:numPr>
          <w:ilvl w:val="0"/>
          <w:numId w:val="2"/>
        </w:numPr>
        <w:spacing w:after="80"/>
      </w:pPr>
      <w:r>
        <w:rPr>
          <w:rFonts w:ascii="Arial" w:cs="Arial" w:eastAsia="Arial" w:hAnsi="Arial"/>
          <w:b/>
          <w:bCs/>
          <w:sz w:val="22"/>
          <w:szCs w:val="22"/>
        </w:rPr>
        <w:t xml:space="preserve">B: Deal Name</w:t>
      </w:r>
      <w:r>
        <w:rPr>
          <w:rFonts w:ascii="Arial" w:cs="Arial" w:eastAsia="Arial" w:hAnsi="Arial"/>
          <w:sz w:val="22"/>
          <w:szCs w:val="22"/>
        </w:rPr>
        <w:t xml:space="preserve"> — what shows on the card</w:t>
      </w:r>
    </w:p>
    <w:p>
      <w:pPr>
        <w:pStyle w:val="ListParagraph"/>
        <w:numPr>
          <w:ilvl w:val="0"/>
          <w:numId w:val="2"/>
        </w:numPr>
        <w:spacing w:after="80"/>
      </w:pPr>
      <w:r>
        <w:rPr>
          <w:rFonts w:ascii="Arial" w:cs="Arial" w:eastAsia="Arial" w:hAnsi="Arial"/>
          <w:b/>
          <w:bCs/>
          <w:sz w:val="22"/>
          <w:szCs w:val="22"/>
        </w:rPr>
        <w:t xml:space="preserve">D: Asset Class</w:t>
      </w:r>
      <w:r>
        <w:rPr>
          <w:rFonts w:ascii="Arial" w:cs="Arial" w:eastAsia="Arial" w:hAnsi="Arial"/>
          <w:sz w:val="22"/>
          <w:szCs w:val="22"/>
        </w:rPr>
        <w:t xml:space="preserve"> — drives the donut chart and grouping</w:t>
      </w:r>
    </w:p>
    <w:p>
      <w:pPr>
        <w:pStyle w:val="ListParagraph"/>
        <w:numPr>
          <w:ilvl w:val="0"/>
          <w:numId w:val="2"/>
        </w:numPr>
        <w:spacing w:after="80"/>
      </w:pPr>
      <w:r>
        <w:rPr>
          <w:rFonts w:ascii="Arial" w:cs="Arial" w:eastAsia="Arial" w:hAnsi="Arial"/>
          <w:b/>
          <w:bCs/>
          <w:sz w:val="22"/>
          <w:szCs w:val="22"/>
        </w:rPr>
        <w:t xml:space="preserve">J: Account Type</w:t>
      </w:r>
      <w:r>
        <w:rPr>
          <w:rFonts w:ascii="Arial" w:cs="Arial" w:eastAsia="Arial" w:hAnsi="Arial"/>
          <w:sz w:val="22"/>
          <w:szCs w:val="22"/>
        </w:rPr>
        <w:t xml:space="preserve"> — drives account-based filtering</w:t>
      </w:r>
    </w:p>
    <w:p>
      <w:pPr>
        <w:pStyle w:val="ListParagraph"/>
        <w:numPr>
          <w:ilvl w:val="0"/>
          <w:numId w:val="2"/>
        </w:numPr>
        <w:spacing w:after="80"/>
      </w:pPr>
      <w:r>
        <w:rPr>
          <w:rFonts w:ascii="Arial" w:cs="Arial" w:eastAsia="Arial" w:hAnsi="Arial"/>
          <w:b/>
          <w:bCs/>
          <w:sz w:val="22"/>
          <w:szCs w:val="22"/>
        </w:rPr>
        <w:t xml:space="preserve">O: Commitment ($)</w:t>
      </w:r>
      <w:r>
        <w:rPr>
          <w:rFonts w:ascii="Arial" w:cs="Arial" w:eastAsia="Arial" w:hAnsi="Arial"/>
          <w:sz w:val="22"/>
          <w:szCs w:val="22"/>
        </w:rPr>
        <w:t xml:space="preserve"> — drives KPIs and allocation math</w:t>
      </w:r>
    </w:p>
    <w:p>
      <w:pPr>
        <w:pStyle w:val="ListParagraph"/>
        <w:numPr>
          <w:ilvl w:val="0"/>
          <w:numId w:val="2"/>
        </w:numPr>
        <w:spacing w:after="80"/>
      </w:pPr>
      <w:r>
        <w:rPr>
          <w:rFonts w:ascii="Arial" w:cs="Arial" w:eastAsia="Arial" w:hAnsi="Arial"/>
          <w:b/>
          <w:bCs/>
          <w:sz w:val="22"/>
          <w:szCs w:val="22"/>
        </w:rPr>
        <w:t xml:space="preserve">P: Amount Funded ($)</w:t>
      </w:r>
      <w:r>
        <w:rPr>
          <w:rFonts w:ascii="Arial" w:cs="Arial" w:eastAsia="Arial" w:hAnsi="Arial"/>
          <w:sz w:val="22"/>
          <w:szCs w:val="22"/>
        </w:rPr>
        <w:t xml:space="preserve"> — drives funded KPI</w:t>
      </w:r>
    </w:p>
    <w:p>
      <w:pPr>
        <w:pStyle w:val="ListParagraph"/>
        <w:numPr>
          <w:ilvl w:val="0"/>
          <w:numId w:val="2"/>
        </w:numPr>
        <w:spacing w:after="80"/>
      </w:pPr>
      <w:r>
        <w:rPr>
          <w:rFonts w:ascii="Arial" w:cs="Arial" w:eastAsia="Arial" w:hAnsi="Arial"/>
          <w:b/>
          <w:bCs/>
          <w:sz w:val="22"/>
          <w:szCs w:val="22"/>
        </w:rPr>
        <w:t xml:space="preserve">U: Current Value ($)</w:t>
      </w:r>
      <w:r>
        <w:rPr>
          <w:rFonts w:ascii="Arial" w:cs="Arial" w:eastAsia="Arial" w:hAnsi="Arial"/>
          <w:sz w:val="22"/>
          <w:szCs w:val="22"/>
        </w:rPr>
        <w:t xml:space="preserve"> — drives current value KPI</w:t>
      </w:r>
    </w:p>
    <w:p>
      <w:pPr>
        <w:pStyle w:val="ListParagraph"/>
        <w:numPr>
          <w:ilvl w:val="0"/>
          <w:numId w:val="2"/>
        </w:numPr>
        <w:spacing w:after="80"/>
      </w:pPr>
      <w:r>
        <w:rPr>
          <w:rFonts w:ascii="Arial" w:cs="Arial" w:eastAsia="Arial" w:hAnsi="Arial"/>
          <w:b/>
          <w:bCs/>
          <w:sz w:val="22"/>
          <w:szCs w:val="22"/>
        </w:rPr>
        <w:t xml:space="preserve">AA: Expected MOIC</w:t>
      </w:r>
      <w:r>
        <w:rPr>
          <w:rFonts w:ascii="Arial" w:cs="Arial" w:eastAsia="Arial" w:hAnsi="Arial"/>
          <w:sz w:val="22"/>
          <w:szCs w:val="22"/>
        </w:rPr>
        <w:t xml:space="preserve"> — drives weighted MOIC and ladder</w:t>
      </w:r>
    </w:p>
    <w:p>
      <w:pPr>
        <w:pStyle w:val="Heading2"/>
        <w:spacing w:after="140" w:before="280"/>
      </w:pPr>
      <w:r>
        <w:rPr>
          <w:rFonts w:ascii="Arial" w:cs="Arial" w:eastAsia="Arial" w:hAnsi="Arial"/>
          <w:b/>
          <w:bCs/>
          <w:color w:val="1A1A1A"/>
          <w:sz w:val="26"/>
          <w:szCs w:val="26"/>
        </w:rPr>
        <w:t xml:space="preserve">Sign convention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EEEEEE" w:val="clear"/>
            <w:tcMar>
              <w:top w:type="dxa" w:w="80"/>
              <w:left w:type="dxa" w:w="140"/>
              <w:bottom w:type="dxa" w:w="80"/>
              <w:right w:type="dxa" w:w="140"/>
            </w:tcMar>
          </w:tcPr>
          <w:p>
            <w:r>
              <w:rPr>
                <w:rFonts w:ascii="Arial" w:cs="Arial" w:eastAsia="Arial" w:hAnsi="Arial"/>
                <w:b/>
                <w:bCs/>
                <w:sz w:val="22"/>
                <w:szCs w:val="22"/>
              </w:rPr>
              <w:t xml:space="preserve">Negative (-)</w:t>
            </w:r>
          </w:p>
        </w:tc>
        <w:tc>
          <w:tcPr>
            <w:tcW w:type="dxa" w:w="4680"/>
            <w:tcBorders>
              <w:top w:val="single" w:color="BBBBBB" w:sz="4"/>
              <w:left w:val="single" w:color="BBBBBB" w:sz="4"/>
              <w:bottom w:val="single" w:color="BBBBBB" w:sz="4"/>
              <w:right w:val="single" w:color="BBBBBB" w:sz="4"/>
            </w:tcBorders>
            <w:shd w:fill="EEEEEE" w:val="clear"/>
            <w:tcMar>
              <w:top w:type="dxa" w:w="80"/>
              <w:left w:type="dxa" w:w="140"/>
              <w:bottom w:type="dxa" w:w="80"/>
              <w:right w:type="dxa" w:w="140"/>
            </w:tcMar>
          </w:tcPr>
          <w:p>
            <w:r>
              <w:rPr>
                <w:rFonts w:ascii="Arial" w:cs="Arial" w:eastAsia="Arial" w:hAnsi="Arial"/>
                <w:b/>
                <w:bCs/>
                <w:sz w:val="22"/>
                <w:szCs w:val="22"/>
              </w:rPr>
              <w:t xml:space="preserve">Positive (+)</w:t>
            </w:r>
          </w:p>
        </w:tc>
      </w:tr>
      <w:tr>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sz w:val="22"/>
                <w:szCs w:val="22"/>
              </w:rPr>
              <w:t xml:space="preserve">Capital Call</w:t>
            </w:r>
          </w:p>
          <w:p>
            <w:r>
              <w:rPr>
                <w:rFonts w:ascii="Arial" w:cs="Arial" w:eastAsia="Arial" w:hAnsi="Arial"/>
                <w:sz w:val="22"/>
                <w:szCs w:val="22"/>
              </w:rPr>
              <w:t xml:space="preserve">Initial funding</w:t>
            </w:r>
          </w:p>
          <w:p>
            <w:r>
              <w:rPr>
                <w:rFonts w:ascii="Arial" w:cs="Arial" w:eastAsia="Arial" w:hAnsi="Arial"/>
                <w:sz w:val="22"/>
                <w:szCs w:val="22"/>
              </w:rPr>
              <w:t xml:space="preserve">Fee</w:t>
            </w:r>
          </w:p>
          <w:p>
            <w:r>
              <w:rPr>
                <w:rFonts w:ascii="Arial" w:cs="Arial" w:eastAsia="Arial" w:hAnsi="Arial"/>
                <w:sz w:val="22"/>
                <w:szCs w:val="22"/>
              </w:rPr>
              <w:t xml:space="preserve">Contribution (additional)</w:t>
            </w:r>
          </w:p>
        </w:tc>
        <w:tc>
          <w:tcPr>
            <w:tcW w:type="dxa" w:w="4680"/>
            <w:tcBorders>
              <w:top w:val="single" w:color="BBBBBB" w:sz="4"/>
              <w:left w:val="single" w:color="BBBBBB" w:sz="4"/>
              <w:bottom w:val="single" w:color="BBBBBB" w:sz="4"/>
              <w:right w:val="single" w:color="BBBBBB" w:sz="4"/>
            </w:tcBorders>
            <w:tcMar>
              <w:top w:type="dxa" w:w="80"/>
              <w:left w:type="dxa" w:w="140"/>
              <w:bottom w:type="dxa" w:w="80"/>
              <w:right w:type="dxa" w:w="140"/>
            </w:tcMar>
          </w:tcPr>
          <w:p>
            <w:r>
              <w:rPr>
                <w:rFonts w:ascii="Arial" w:cs="Arial" w:eastAsia="Arial" w:hAnsi="Arial"/>
                <w:sz w:val="22"/>
                <w:szCs w:val="22"/>
              </w:rPr>
              <w:t xml:space="preserve">Distribution</w:t>
            </w:r>
          </w:p>
          <w:p>
            <w:r>
              <w:rPr>
                <w:rFonts w:ascii="Arial" w:cs="Arial" w:eastAsia="Arial" w:hAnsi="Arial"/>
                <w:sz w:val="22"/>
                <w:szCs w:val="22"/>
              </w:rPr>
              <w:t xml:space="preserve">Return of Capital</w:t>
            </w:r>
          </w:p>
          <w:p>
            <w:r>
              <w:rPr>
                <w:rFonts w:ascii="Arial" w:cs="Arial" w:eastAsia="Arial" w:hAnsi="Arial"/>
                <w:sz w:val="22"/>
                <w:szCs w:val="22"/>
              </w:rPr>
              <w:t xml:space="preserve">Equity at Exit</w:t>
            </w:r>
          </w:p>
          <w:p>
            <w:r>
              <w:rPr>
                <w:rFonts w:ascii="Arial" w:cs="Arial" w:eastAsia="Arial" w:hAnsi="Arial"/>
                <w:sz w:val="22"/>
                <w:szCs w:val="22"/>
              </w:rPr>
              <w:t xml:space="preserve">Capital at Exit</w:t>
            </w:r>
          </w:p>
        </w:tc>
      </w:tr>
    </w:tbl>
    <w:p>
      <w:pPr>
        <w:spacing w:after="120"/>
      </w:pPr>
    </w:p>
    <w:p>
      <w:pPr>
        <w:pBdr>
          <w:bottom w:val="single" w:color="888888" w:sz="6" w:space="6"/>
        </w:pBdr>
        <w:spacing w:after="240" w:before="120"/>
      </w:pPr>
    </w:p>
    <w:p>
      <w:pPr>
        <w:spacing w:after="60" w:before="240"/>
        <w:jc w:val="center"/>
      </w:pPr>
      <w:r>
        <w:rPr>
          <w:rFonts w:ascii="Arial" w:cs="Arial" w:eastAsia="Arial" w:hAnsi="Arial"/>
          <w:i/>
          <w:iCs/>
          <w:color w:val="555555"/>
          <w:sz w:val="20"/>
          <w:szCs w:val="20"/>
        </w:rPr>
        <w:t xml:space="preserve">If this guide saved you time, that means it worked. If it didn't — tell us what was confusing so we can fix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 Investment Tracker — User Guide</dc:title>
  <dc:creator>Growth Circle</dc:creator>
  <cp:lastModifiedBy>Un-named</cp:lastModifiedBy>
  <cp:revision>1</cp:revision>
  <dcterms:created xsi:type="dcterms:W3CDTF">2026-04-28T04:07:12.486Z</dcterms:created>
  <dcterms:modified xsi:type="dcterms:W3CDTF">2026-04-28T04:07:12.487Z</dcterms:modified>
</cp:coreProperties>
</file>

<file path=docProps/custom.xml><?xml version="1.0" encoding="utf-8"?>
<Properties xmlns="http://schemas.openxmlformats.org/officeDocument/2006/custom-properties" xmlns:vt="http://schemas.openxmlformats.org/officeDocument/2006/docPropsVTypes"/>
</file>