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4" w:lineRule="auto"/>
      </w:pPr>
      <w:r>
        <w:rPr>
          <w:rFonts w:ascii="Calibri" w:hAnsi="Calibri" w:eastAsia="Microsoft YaHei"/>
          <w:b/>
          <w:color w:val="1A1816"/>
          <w:sz w:val="44"/>
        </w:rPr>
        <w:t>战略BP Agent数据源接入与知识库建设</w:t>
      </w:r>
    </w:p>
    <w:p>
      <w:pPr>
        <w:spacing w:before="0" w:after="240" w:line="264" w:lineRule="auto"/>
      </w:pPr>
      <w:r>
        <w:rPr>
          <w:rFonts w:ascii="Calibri" w:hAnsi="Calibri" w:eastAsia="Microsoft YaHei"/>
          <w:b w:val="0"/>
          <w:color w:val="5C5852"/>
          <w:sz w:val="26"/>
        </w:rPr>
        <w:t>老板汇报版周会文档 · 推进作战图 + 责任闭环</w:t>
      </w:r>
    </w:p>
    <w:tbl>
      <w:tblPr>
        <w:tblW w:type="dxa" w:w="9360"/>
        <w:tblLook w:firstColumn="1" w:firstRow="1" w:lastColumn="0" w:lastRow="0" w:noHBand="0" w:noVBand="1" w:val="04A0"/>
        <w:tblInd w:w="120" w:type="dxa"/>
        <w:tblBorders>
          <w:top w:val="single" w:sz="4" w:space="0" w:color="E1E5EA"/>
          <w:left w:val="single" w:sz="4" w:space="0" w:color="E1E5EA"/>
          <w:bottom w:val="single" w:sz="4" w:space="0" w:color="E1E5EA"/>
          <w:right w:val="single" w:sz="4" w:space="0" w:color="E1E5EA"/>
          <w:insideH w:val="single" w:sz="4" w:space="0" w:color="E1E5EA"/>
          <w:insideV w:val="single" w:sz="4" w:space="0" w:color="E1E5EA"/>
        </w:tblBorders>
      </w:tblPr>
      <w:tblGrid>
        <w:gridCol w:w="9936"/>
      </w:tblGrid>
      <w:tr>
        <w:tc>
          <w:tcPr>
            <w:tcW w:type="dxa" w:w="9936"/>
            <w:shd w:fill="F4F6F9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22"/>
              </w:rPr>
              <w:t>一句话结论：</w:t>
            </w:r>
            <w:r>
              <w:rPr>
                <w:rFonts w:ascii="Calibri" w:hAnsi="Calibri" w:eastAsia="Microsoft YaHei"/>
                <w:b w:val="0"/>
                <w:color w:val="1A1816"/>
                <w:sz w:val="22"/>
              </w:rPr>
              <w:t>本周已把事项拆成5个工作包、6个推进环节；当前最需要老板关注的是测评Owner、测评开发Owner和试用范围的确认，避免方案做完后无法验证、无法推进。</w:t>
            </w:r>
          </w:p>
        </w:tc>
      </w:tr>
    </w:tbl>
    <w:p>
      <w:pPr>
        <w:spacing w:before="0" w:after="60" w:line="264" w:lineRule="auto"/>
      </w:pPr>
    </w:p>
    <w:p>
      <w:pPr>
        <w:spacing w:before="280" w:after="120"/>
      </w:pPr>
      <w:r>
        <w:rPr>
          <w:rFonts w:ascii="Calibri" w:hAnsi="Calibri" w:eastAsia="Microsoft YaHei"/>
          <w:b/>
          <w:color w:val="1F4D78"/>
          <w:sz w:val="32"/>
        </w:rPr>
        <w:t>一、推进作战图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color w:val="5C5852"/>
          <w:sz w:val="20"/>
        </w:rPr>
        <w:t>读图方式：绿色代表责任或路径已基本明确；黄色代表需要补齐Owner、样例或外部确认；红色/风险项代表上线前必须形成书面边界。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8EEF5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/>
                <w:color w:val="1A1816"/>
                <w:sz w:val="16"/>
              </w:rPr>
              <w:t>工作包</w:t>
            </w:r>
          </w:p>
        </w:tc>
        <w:tc>
          <w:tcPr>
            <w:tcW w:type="dxa" w:w="15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8EEF5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/>
                <w:color w:val="1A1816"/>
                <w:sz w:val="16"/>
              </w:rPr>
              <w:t>方案</w:t>
            </w:r>
          </w:p>
        </w:tc>
        <w:tc>
          <w:tcPr>
            <w:tcW w:type="dxa" w:w="15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8EEF5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/>
                <w:color w:val="1A1816"/>
                <w:sz w:val="16"/>
              </w:rPr>
              <w:t>测评方案</w:t>
            </w:r>
          </w:p>
        </w:tc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8EEF5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/>
                <w:color w:val="1A1816"/>
                <w:sz w:val="16"/>
              </w:rPr>
              <w:t>测评开发</w:t>
            </w:r>
          </w:p>
        </w:tc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8EEF5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/>
                <w:color w:val="1A1816"/>
                <w:sz w:val="16"/>
              </w:rPr>
              <w:t>试用对象</w:t>
            </w:r>
          </w:p>
        </w:tc>
        <w:tc>
          <w:tcPr>
            <w:tcW w:type="dxa" w:w="21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8EEF5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/>
                <w:color w:val="1A1816"/>
                <w:sz w:val="16"/>
              </w:rPr>
              <w:t>本周卡点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A1816"/>
                <w:sz w:val="16"/>
              </w:rPr>
              <w:t>专家访谈机器人MVP</w:t>
            </w:r>
          </w:p>
        </w:tc>
        <w:tc>
          <w:tcPr>
            <w:tcW w:type="dxa" w:w="15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8F5E9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A1816"/>
                <w:sz w:val="16"/>
              </w:rPr>
              <w:t>如意 / A2904-03</w:t>
            </w:r>
          </w:p>
        </w:tc>
        <w:tc>
          <w:tcPr>
            <w:tcW w:type="dxa" w:w="15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7D6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A1816"/>
                <w:sz w:val="16"/>
              </w:rPr>
              <w:t>待定</w:t>
            </w:r>
          </w:p>
        </w:tc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7D6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A1816"/>
                <w:sz w:val="16"/>
              </w:rPr>
              <w:t>A2904-03 + 平台工程待确认</w:t>
            </w:r>
          </w:p>
        </w:tc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8F5E9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A1816"/>
                <w:sz w:val="16"/>
              </w:rPr>
              <w:t>1-2个供应商群</w:t>
            </w:r>
          </w:p>
        </w:tc>
        <w:tc>
          <w:tcPr>
            <w:tcW w:type="dxa" w:w="21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7D6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A1816"/>
                <w:sz w:val="16"/>
              </w:rPr>
              <w:t>测评Owner未点名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A1816"/>
                <w:sz w:val="16"/>
              </w:rPr>
              <w:t>高阶人脉数据接入</w:t>
            </w:r>
          </w:p>
        </w:tc>
        <w:tc>
          <w:tcPr>
            <w:tcW w:type="dxa" w:w="15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8F5E9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A1816"/>
                <w:sz w:val="16"/>
              </w:rPr>
              <w:t>1608晨曦-01 / A2904-01</w:t>
            </w:r>
          </w:p>
        </w:tc>
        <w:tc>
          <w:tcPr>
            <w:tcW w:type="dxa" w:w="15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7D6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A1816"/>
                <w:sz w:val="16"/>
              </w:rPr>
              <w:t>VIP服务方待确认</w:t>
            </w:r>
          </w:p>
        </w:tc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8F5E9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A1816"/>
                <w:sz w:val="16"/>
              </w:rPr>
              <w:t>林鹤 + LV/数据引擎</w:t>
            </w:r>
          </w:p>
        </w:tc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8F5E9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A1816"/>
                <w:sz w:val="16"/>
              </w:rPr>
              <w:t>菲特、柯南等核心VIP</w:t>
            </w:r>
          </w:p>
        </w:tc>
        <w:tc>
          <w:tcPr>
            <w:tcW w:type="dxa" w:w="21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7D6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A1816"/>
                <w:sz w:val="16"/>
              </w:rPr>
              <w:t>安全边界需书面化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A1816"/>
                <w:sz w:val="16"/>
              </w:rPr>
              <w:t>付费数据源API采购</w:t>
            </w:r>
          </w:p>
        </w:tc>
        <w:tc>
          <w:tcPr>
            <w:tcW w:type="dxa" w:w="15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8F5E9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A1816"/>
                <w:sz w:val="16"/>
              </w:rPr>
              <w:t>15A-H12-01 / 林鹤</w:t>
            </w:r>
          </w:p>
        </w:tc>
        <w:tc>
          <w:tcPr>
            <w:tcW w:type="dxa" w:w="15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7D6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A1816"/>
                <w:sz w:val="16"/>
              </w:rPr>
              <w:t>战略BP业务侧待确认</w:t>
            </w:r>
          </w:p>
        </w:tc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8F5E9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A1816"/>
                <w:sz w:val="16"/>
              </w:rPr>
              <w:t>林鹤</w:t>
            </w:r>
          </w:p>
        </w:tc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8F5E9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A1816"/>
                <w:sz w:val="16"/>
              </w:rPr>
              <w:t>1个高价值供应商PoC</w:t>
            </w:r>
          </w:p>
        </w:tc>
        <w:tc>
          <w:tcPr>
            <w:tcW w:type="dxa" w:w="21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7D6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A1816"/>
                <w:sz w:val="16"/>
              </w:rPr>
              <w:t>API可得性待确认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A1816"/>
                <w:sz w:val="16"/>
              </w:rPr>
              <w:t>知识库权限与检索</w:t>
            </w:r>
          </w:p>
        </w:tc>
        <w:tc>
          <w:tcPr>
            <w:tcW w:type="dxa" w:w="15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8F5E9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A1816"/>
                <w:sz w:val="16"/>
              </w:rPr>
              <w:t>15A-H12-01 / 1608晨曦-01</w:t>
            </w:r>
          </w:p>
        </w:tc>
        <w:tc>
          <w:tcPr>
            <w:tcW w:type="dxa" w:w="15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7D6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A1816"/>
                <w:sz w:val="16"/>
              </w:rPr>
              <w:t>知识库核心用户待确认</w:t>
            </w:r>
          </w:p>
        </w:tc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7D6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A1816"/>
                <w:sz w:val="16"/>
              </w:rPr>
              <w:t>待定</w:t>
            </w:r>
          </w:p>
        </w:tc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8F5E9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A1816"/>
                <w:sz w:val="16"/>
              </w:rPr>
              <w:t>业务上线卡点场景</w:t>
            </w:r>
          </w:p>
        </w:tc>
        <w:tc>
          <w:tcPr>
            <w:tcW w:type="dxa" w:w="21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7D6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A1816"/>
                <w:sz w:val="16"/>
              </w:rPr>
              <w:t>评测开发Owner未明确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A1816"/>
                <w:sz w:val="16"/>
              </w:rPr>
              <w:t>数据看板与评测机制</w:t>
            </w:r>
          </w:p>
        </w:tc>
        <w:tc>
          <w:tcPr>
            <w:tcW w:type="dxa" w:w="15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8F5E9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A1816"/>
                <w:sz w:val="16"/>
              </w:rPr>
              <w:t>奇伢(Ronin)</w:t>
            </w:r>
          </w:p>
        </w:tc>
        <w:tc>
          <w:tcPr>
            <w:tcW w:type="dxa" w:w="15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A1816"/>
                <w:sz w:val="16"/>
              </w:rPr>
              <w:t>奇伢 + 业务侧</w:t>
            </w:r>
          </w:p>
        </w:tc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8F5E9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A1816"/>
                <w:sz w:val="16"/>
              </w:rPr>
              <w:t>奇伢 + 平台工程</w:t>
            </w:r>
          </w:p>
        </w:tc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8F5E9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A1816"/>
                <w:sz w:val="16"/>
              </w:rPr>
              <w:t>战略BP高频用户</w:t>
            </w:r>
          </w:p>
        </w:tc>
        <w:tc>
          <w:tcPr>
            <w:tcW w:type="dxa" w:w="21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7D6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A1816"/>
                <w:sz w:val="16"/>
              </w:rPr>
              <w:t>缺失埋点需补齐</w:t>
            </w:r>
          </w:p>
        </w:tc>
      </w:tr>
    </w:tbl>
    <w:p>
      <w:pPr>
        <w:spacing w:before="0" w:after="80" w:line="264" w:lineRule="auto"/>
      </w:pPr>
    </w:p>
    <w:p>
      <w:pPr>
        <w:spacing w:before="280" w:after="120"/>
      </w:pPr>
      <w:r>
        <w:rPr>
          <w:rFonts w:ascii="Calibri" w:hAnsi="Calibri" w:eastAsia="Microsoft YaHei"/>
          <w:b/>
          <w:color w:val="1F4D78"/>
          <w:sz w:val="32"/>
        </w:rPr>
        <w:t>二、老板需要关注的三件事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3312"/>
        <w:gridCol w:w="3312"/>
        <w:gridCol w:w="3312"/>
      </w:tblGrid>
      <w:t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8EEF5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/>
                <w:color w:val="1A1816"/>
                <w:sz w:val="18"/>
              </w:rPr>
              <w:t>关注点</w:t>
            </w:r>
          </w:p>
        </w:tc>
        <w:tc>
          <w:tcPr>
            <w:tcW w:type="dxa" w:w="38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8EEF5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/>
                <w:color w:val="1A1816"/>
                <w:sz w:val="18"/>
              </w:rPr>
              <w:t>为什么重要</w:t>
            </w:r>
          </w:p>
        </w:tc>
        <w:tc>
          <w:tcPr>
            <w:tcW w:type="dxa" w:w="36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8EEF5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/>
                <w:color w:val="1A1816"/>
                <w:sz w:val="18"/>
              </w:rPr>
              <w:t>建议动作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A1816"/>
                <w:sz w:val="18"/>
              </w:rPr>
              <w:t>测评Owner要点名</w:t>
            </w:r>
          </w:p>
        </w:tc>
        <w:tc>
          <w:tcPr>
            <w:tcW w:type="dxa" w:w="38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A1816"/>
                <w:sz w:val="18"/>
              </w:rPr>
              <w:t>多个工作包已有方案Owner，但测评责任未完全落人，后续容易变成“做了但没人验”。</w:t>
            </w:r>
          </w:p>
        </w:tc>
        <w:tc>
          <w:tcPr>
            <w:tcW w:type="dxa" w:w="36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A1816"/>
                <w:sz w:val="18"/>
              </w:rPr>
              <w:t>在周会上直接指定每个工作包的业务验收人。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A1816"/>
                <w:sz w:val="18"/>
              </w:rPr>
              <w:t>测评开发Owner要绑定排期</w:t>
            </w:r>
          </w:p>
        </w:tc>
        <w:tc>
          <w:tcPr>
            <w:tcW w:type="dxa" w:w="38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A1816"/>
                <w:sz w:val="18"/>
              </w:rPr>
              <w:t>知识库权限、机器人路由、数据源质量都需要可重复评测，不能只靠口头反馈。</w:t>
            </w:r>
          </w:p>
        </w:tc>
        <w:tc>
          <w:tcPr>
            <w:tcW w:type="dxa" w:w="36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A1816"/>
                <w:sz w:val="18"/>
              </w:rPr>
              <w:t>把评测开发纳入工程排期，明确谁交付评测集或看板。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A1816"/>
                <w:sz w:val="18"/>
              </w:rPr>
              <w:t>先试用对象要收窄</w:t>
            </w:r>
          </w:p>
        </w:tc>
        <w:tc>
          <w:tcPr>
            <w:tcW w:type="dxa" w:w="38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A1816"/>
                <w:sz w:val="18"/>
              </w:rPr>
              <w:t>当前涉及外部群、VIP人脉和付费数据源，过早全量开放会放大安全和体验风险。</w:t>
            </w:r>
          </w:p>
        </w:tc>
        <w:tc>
          <w:tcPr>
            <w:tcW w:type="dxa" w:w="36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A1816"/>
                <w:sz w:val="18"/>
              </w:rPr>
              <w:t>先按供应商群、核心VIP、高频战略BP三类对象灰度。</w:t>
            </w:r>
          </w:p>
        </w:tc>
      </w:tr>
    </w:tbl>
    <w:p>
      <w:pPr>
        <w:spacing w:before="0" w:after="80" w:line="264" w:lineRule="auto"/>
      </w:pPr>
    </w:p>
    <w:p>
      <w:pPr>
        <w:spacing w:before="280" w:after="120"/>
      </w:pPr>
      <w:r>
        <w:rPr>
          <w:rFonts w:ascii="Calibri" w:hAnsi="Calibri" w:eastAsia="Microsoft YaHei"/>
          <w:b/>
          <w:color w:val="1F4D78"/>
          <w:sz w:val="32"/>
        </w:rPr>
        <w:t>三、工作包责任卡</w:t>
      </w:r>
    </w:p>
    <w:p>
      <w:pPr>
        <w:spacing w:before="120" w:after="80" w:line="264" w:lineRule="auto"/>
      </w:pPr>
      <w:r>
        <w:rPr>
          <w:rFonts w:ascii="Calibri" w:hAnsi="Calibri" w:eastAsia="Microsoft YaHei"/>
          <w:b/>
          <w:color w:val="1F4D78"/>
          <w:sz w:val="24"/>
        </w:rPr>
        <w:t>工作包1：专家访谈数据机器人MVP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4968"/>
        <w:gridCol w:w="4968"/>
      </w:tblGrid>
      <w:t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4F7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/>
                <w:color w:val="1A1816"/>
                <w:sz w:val="18"/>
              </w:rPr>
              <w:t>目标</w:t>
            </w:r>
          </w:p>
        </w:tc>
        <w:tc>
          <w:tcPr>
            <w:tcW w:type="dxa" w:w="74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A1816"/>
                <w:sz w:val="18"/>
              </w:rPr>
              <w:t>解决外部专家无Agent、无小红书账号导致的访谈数据收集低效问题。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4F7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/>
                <w:color w:val="1A1816"/>
                <w:sz w:val="18"/>
              </w:rPr>
              <w:t>方案负责人</w:t>
            </w:r>
          </w:p>
        </w:tc>
        <w:tc>
          <w:tcPr>
            <w:tcW w:type="dxa" w:w="74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A1816"/>
                <w:sz w:val="18"/>
              </w:rPr>
              <w:t>如意负责消息路由调研；A2904-说话人03负责需求整理与群组分发Skill原型。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4F7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/>
                <w:color w:val="1A1816"/>
                <w:sz w:val="18"/>
              </w:rPr>
              <w:t>测评负责人</w:t>
            </w:r>
          </w:p>
        </w:tc>
        <w:tc>
          <w:tcPr>
            <w:tcW w:type="dxa" w:w="74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A1816"/>
                <w:sz w:val="18"/>
              </w:rPr>
              <w:t>待定。建议由发起需求的战略BP指定1名业务验收人。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4F7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/>
                <w:color w:val="1A1816"/>
                <w:sz w:val="18"/>
              </w:rPr>
              <w:t>测评开发负责人</w:t>
            </w:r>
          </w:p>
        </w:tc>
        <w:tc>
          <w:tcPr>
            <w:tcW w:type="dxa" w:w="74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A1816"/>
                <w:sz w:val="18"/>
              </w:rPr>
              <w:t>待定。建议A2904-说话人03先做Skill原型，平台工程补机器人接入。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4F7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/>
                <w:color w:val="1A1816"/>
                <w:sz w:val="18"/>
              </w:rPr>
              <w:t>试用对象</w:t>
            </w:r>
          </w:p>
        </w:tc>
        <w:tc>
          <w:tcPr>
            <w:tcW w:type="dxa" w:w="74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A1816"/>
                <w:sz w:val="18"/>
              </w:rPr>
              <w:t>先选1-2个供应商群，验证标准需求表格化分发与非标沟通补充。</w:t>
            </w:r>
          </w:p>
        </w:tc>
      </w:tr>
    </w:tbl>
    <w:p>
      <w:pPr>
        <w:spacing w:before="0" w:after="40" w:line="264" w:lineRule="auto"/>
      </w:pPr>
    </w:p>
    <w:p>
      <w:pPr>
        <w:spacing w:before="120" w:after="80" w:line="264" w:lineRule="auto"/>
      </w:pPr>
      <w:r>
        <w:rPr>
          <w:rFonts w:ascii="Calibri" w:hAnsi="Calibri" w:eastAsia="Microsoft YaHei"/>
          <w:b/>
          <w:color w:val="1F4D78"/>
          <w:sz w:val="24"/>
        </w:rPr>
        <w:t>工作包2：高阶人脉数据接入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4968"/>
        <w:gridCol w:w="4968"/>
      </w:tblGrid>
      <w:t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4F7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/>
                <w:color w:val="1A1816"/>
                <w:sz w:val="18"/>
              </w:rPr>
              <w:t>目标</w:t>
            </w:r>
          </w:p>
        </w:tc>
        <w:tc>
          <w:tcPr>
            <w:tcW w:type="dxa" w:w="74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A1816"/>
                <w:sz w:val="18"/>
              </w:rPr>
              <w:t>先满足菲特、柯南等核心VIP的高阶人脉数据检索需求。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4F7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/>
                <w:color w:val="1A1816"/>
                <w:sz w:val="18"/>
              </w:rPr>
              <w:t>方案负责人</w:t>
            </w:r>
          </w:p>
        </w:tc>
        <w:tc>
          <w:tcPr>
            <w:tcW w:type="dxa" w:w="74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A1816"/>
                <w:sz w:val="18"/>
              </w:rPr>
              <w:t>1608晨曦-说话人01联系林鹤确认快速接入；A2904-说话人01协调LV或数据引擎替代方案。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4F7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/>
                <w:color w:val="1A1816"/>
                <w:sz w:val="18"/>
              </w:rPr>
              <w:t>测评负责人</w:t>
            </w:r>
          </w:p>
        </w:tc>
        <w:tc>
          <w:tcPr>
            <w:tcW w:type="dxa" w:w="74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A1816"/>
                <w:sz w:val="18"/>
              </w:rPr>
              <w:t>待定。建议由VIP服务方或核心用户代表验收召回质量与可用性。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4F7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/>
                <w:color w:val="1A1816"/>
                <w:sz w:val="18"/>
              </w:rPr>
              <w:t>测评开发负责人</w:t>
            </w:r>
          </w:p>
        </w:tc>
        <w:tc>
          <w:tcPr>
            <w:tcW w:type="dxa" w:w="74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A1816"/>
                <w:sz w:val="18"/>
              </w:rPr>
              <w:t>林鹤承接数据接入工程；LV或数据引擎团队评估Star Rooms / 向量检索替代方案。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4F7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/>
                <w:color w:val="1A1816"/>
                <w:sz w:val="18"/>
              </w:rPr>
              <w:t>试用对象</w:t>
            </w:r>
          </w:p>
        </w:tc>
        <w:tc>
          <w:tcPr>
            <w:tcW w:type="dxa" w:w="74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A1816"/>
                <w:sz w:val="18"/>
              </w:rPr>
              <w:t>仅开放菲特、柯南等核心VIP；试用期重点看命中率、覆盖率、敏感数据暴露风险。</w:t>
            </w:r>
          </w:p>
        </w:tc>
      </w:tr>
    </w:tbl>
    <w:p>
      <w:pPr>
        <w:spacing w:before="0" w:after="40" w:line="264" w:lineRule="auto"/>
      </w:pPr>
    </w:p>
    <w:p>
      <w:pPr>
        <w:spacing w:before="120" w:after="80" w:line="264" w:lineRule="auto"/>
      </w:pPr>
      <w:r>
        <w:rPr>
          <w:rFonts w:ascii="Calibri" w:hAnsi="Calibri" w:eastAsia="Microsoft YaHei"/>
          <w:b/>
          <w:color w:val="1F4D78"/>
          <w:sz w:val="24"/>
        </w:rPr>
        <w:t>工作包3：付费数据源API采购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4968"/>
        <w:gridCol w:w="4968"/>
      </w:tblGrid>
      <w:t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4F7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/>
                <w:color w:val="1A1816"/>
                <w:sz w:val="18"/>
              </w:rPr>
              <w:t>目标</w:t>
            </w:r>
          </w:p>
        </w:tc>
        <w:tc>
          <w:tcPr>
            <w:tcW w:type="dxa" w:w="74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A1816"/>
                <w:sz w:val="18"/>
              </w:rPr>
              <w:t>合规接入竞品数据、行业报告等付费数据源，优先采购API。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4F7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/>
                <w:color w:val="1A1816"/>
                <w:sz w:val="18"/>
              </w:rPr>
              <w:t>方案负责人</w:t>
            </w:r>
          </w:p>
        </w:tc>
        <w:tc>
          <w:tcPr>
            <w:tcW w:type="dxa" w:w="74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A1816"/>
                <w:sz w:val="18"/>
              </w:rPr>
              <w:t>15A-H12哈利波特-说话人01联系供应商；林鹤承接统一工程入口。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4F7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/>
                <w:color w:val="1A1816"/>
                <w:sz w:val="18"/>
              </w:rPr>
              <w:t>测评负责人</w:t>
            </w:r>
          </w:p>
        </w:tc>
        <w:tc>
          <w:tcPr>
            <w:tcW w:type="dxa" w:w="74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A1816"/>
                <w:sz w:val="18"/>
              </w:rPr>
              <w:t>待定。建议战略BP业务侧提供样例问题和目标报告。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4F7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/>
                <w:color w:val="1A1816"/>
                <w:sz w:val="18"/>
              </w:rPr>
              <w:t>测评开发负责人</w:t>
            </w:r>
          </w:p>
        </w:tc>
        <w:tc>
          <w:tcPr>
            <w:tcW w:type="dxa" w:w="74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A1816"/>
                <w:sz w:val="18"/>
              </w:rPr>
              <w:t>林鹤负责批量拉取、字段落库与平台接入。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4F7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/>
                <w:color w:val="1A1816"/>
                <w:sz w:val="18"/>
              </w:rPr>
              <w:t>试用对象</w:t>
            </w:r>
          </w:p>
        </w:tc>
        <w:tc>
          <w:tcPr>
            <w:tcW w:type="dxa" w:w="74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A1816"/>
                <w:sz w:val="18"/>
              </w:rPr>
              <w:t>先选1个高价值供应商做API PoC；API不可得时再评估账号购买与合规抓取。</w:t>
            </w:r>
          </w:p>
        </w:tc>
      </w:tr>
    </w:tbl>
    <w:p>
      <w:pPr>
        <w:spacing w:before="0" w:after="40" w:line="264" w:lineRule="auto"/>
      </w:pPr>
    </w:p>
    <w:p>
      <w:pPr>
        <w:spacing w:before="120" w:after="80" w:line="264" w:lineRule="auto"/>
      </w:pPr>
      <w:r>
        <w:rPr>
          <w:rFonts w:ascii="Calibri" w:hAnsi="Calibri" w:eastAsia="Microsoft YaHei"/>
          <w:b/>
          <w:color w:val="1F4D78"/>
          <w:sz w:val="24"/>
        </w:rPr>
        <w:t>工作包4：知识库权限与检索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4968"/>
        <w:gridCol w:w="4968"/>
      </w:tblGrid>
      <w:t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4F7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/>
                <w:color w:val="1A1816"/>
                <w:sz w:val="18"/>
              </w:rPr>
              <w:t>目标</w:t>
            </w:r>
          </w:p>
        </w:tc>
        <w:tc>
          <w:tcPr>
            <w:tcW w:type="dxa" w:w="74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A1816"/>
                <w:sz w:val="18"/>
              </w:rPr>
              <w:t>短期跑通公共知识库与私密数据分层：公共知识库走LMV + Graph，私密数据走RAG。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4F7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/>
                <w:color w:val="1A1816"/>
                <w:sz w:val="18"/>
              </w:rPr>
              <w:t>方案负责人</w:t>
            </w:r>
          </w:p>
        </w:tc>
        <w:tc>
          <w:tcPr>
            <w:tcW w:type="dxa" w:w="74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A1816"/>
                <w:sz w:val="18"/>
              </w:rPr>
              <w:t>15A-H12哈利波特-说话人01与1608晨曦-说话人01共同细化短期方案并给出上线时间。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4F7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/>
                <w:color w:val="1A1816"/>
                <w:sz w:val="18"/>
              </w:rPr>
              <w:t>测评负责人</w:t>
            </w:r>
          </w:p>
        </w:tc>
        <w:tc>
          <w:tcPr>
            <w:tcW w:type="dxa" w:w="74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A1816"/>
                <w:sz w:val="18"/>
              </w:rPr>
              <w:t>待定。建议由知识库核心使用团队提供权限用例与验收清单。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4F7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/>
                <w:color w:val="1A1816"/>
                <w:sz w:val="18"/>
              </w:rPr>
              <w:t>测评开发负责人</w:t>
            </w:r>
          </w:p>
        </w:tc>
        <w:tc>
          <w:tcPr>
            <w:tcW w:type="dxa" w:w="74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A1816"/>
                <w:sz w:val="18"/>
              </w:rPr>
              <w:t>待定。需要明确公共/私密/越权访问测试集Owner。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4F7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/>
                <w:color w:val="1A1816"/>
                <w:sz w:val="18"/>
              </w:rPr>
              <w:t>试用对象</w:t>
            </w:r>
          </w:p>
        </w:tc>
        <w:tc>
          <w:tcPr>
            <w:tcW w:type="dxa" w:w="74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A1816"/>
                <w:sz w:val="18"/>
              </w:rPr>
              <w:t>先服务业务上线卡点场景，上线后继续推进长期权限管控方案。</w:t>
            </w:r>
          </w:p>
        </w:tc>
      </w:tr>
    </w:tbl>
    <w:p>
      <w:pPr>
        <w:spacing w:before="0" w:after="40" w:line="264" w:lineRule="auto"/>
      </w:pPr>
    </w:p>
    <w:p>
      <w:pPr>
        <w:spacing w:before="120" w:after="80" w:line="264" w:lineRule="auto"/>
      </w:pPr>
      <w:r>
        <w:rPr>
          <w:rFonts w:ascii="Calibri" w:hAnsi="Calibri" w:eastAsia="Microsoft YaHei"/>
          <w:b/>
          <w:color w:val="1F4D78"/>
          <w:sz w:val="24"/>
        </w:rPr>
        <w:t>工作包5：数据看板与评测迭代机制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4968"/>
        <w:gridCol w:w="4968"/>
      </w:tblGrid>
      <w:t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4F7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/>
                <w:color w:val="1A1816"/>
                <w:sz w:val="18"/>
              </w:rPr>
              <w:t>目标</w:t>
            </w:r>
          </w:p>
        </w:tc>
        <w:tc>
          <w:tcPr>
            <w:tcW w:type="dxa" w:w="74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A1816"/>
                <w:sz w:val="18"/>
              </w:rPr>
              <w:t>用数据看板追踪高频用户、使用场景、卡点和迭代方向。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4F7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/>
                <w:color w:val="1A1816"/>
                <w:sz w:val="18"/>
              </w:rPr>
              <w:t>方案负责人</w:t>
            </w:r>
          </w:p>
        </w:tc>
        <w:tc>
          <w:tcPr>
            <w:tcW w:type="dxa" w:w="74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A1816"/>
                <w:sz w:val="18"/>
              </w:rPr>
              <w:t>奇伢(Ronin)负责看板梳理和缺失埋点补充。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4F7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/>
                <w:color w:val="1A1816"/>
                <w:sz w:val="18"/>
              </w:rPr>
              <w:t>测评负责人</w:t>
            </w:r>
          </w:p>
        </w:tc>
        <w:tc>
          <w:tcPr>
            <w:tcW w:type="dxa" w:w="74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A1816"/>
                <w:sz w:val="18"/>
              </w:rPr>
              <w:t>奇伢(Ronin)牵头定量口径，业务侧补充定性反馈。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4F7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/>
                <w:color w:val="1A1816"/>
                <w:sz w:val="18"/>
              </w:rPr>
              <w:t>测评开发负责人</w:t>
            </w:r>
          </w:p>
        </w:tc>
        <w:tc>
          <w:tcPr>
            <w:tcW w:type="dxa" w:w="74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A1816"/>
                <w:sz w:val="18"/>
              </w:rPr>
              <w:t>奇伢(Ronin)推动埋点与看板开发，必要时协调平台工程。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4F7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/>
                <w:color w:val="1A1816"/>
                <w:sz w:val="18"/>
              </w:rPr>
              <w:t>试用对象</w:t>
            </w:r>
          </w:p>
        </w:tc>
        <w:tc>
          <w:tcPr>
            <w:tcW w:type="dxa" w:w="74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A1816"/>
                <w:sz w:val="18"/>
              </w:rPr>
              <w:t>战略BP高频用户；每周例会同步研发进度、业务信号和数据看板。</w:t>
            </w:r>
          </w:p>
        </w:tc>
      </w:tr>
    </w:tbl>
    <w:p>
      <w:pPr>
        <w:spacing w:before="0" w:after="40" w:line="264" w:lineRule="auto"/>
      </w:pPr>
    </w:p>
    <w:p>
      <w:pPr>
        <w:spacing w:before="280" w:after="120"/>
      </w:pPr>
      <w:r>
        <w:rPr>
          <w:rFonts w:ascii="Calibri" w:hAnsi="Calibri" w:eastAsia="Microsoft YaHei"/>
          <w:b/>
          <w:color w:val="1F4D78"/>
          <w:sz w:val="32"/>
        </w:rPr>
        <w:t>四、下周推进节奏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3312"/>
        <w:gridCol w:w="3312"/>
        <w:gridCol w:w="3312"/>
      </w:tblGrid>
      <w:t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8EEF5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/>
                <w:color w:val="1A1816"/>
                <w:sz w:val="18"/>
              </w:rPr>
              <w:t>节奏</w:t>
            </w:r>
          </w:p>
        </w:tc>
        <w:tc>
          <w:tcPr>
            <w:tcW w:type="dxa" w:w="55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8EEF5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/>
                <w:color w:val="1A1816"/>
                <w:sz w:val="18"/>
              </w:rPr>
              <w:t>要交付什么</w:t>
            </w:r>
          </w:p>
        </w:tc>
        <w:tc>
          <w:tcPr>
            <w:tcW w:type="dxa" w:w="18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8EEF5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/>
                <w:color w:val="1A1816"/>
                <w:sz w:val="18"/>
              </w:rPr>
              <w:t>负责人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A1816"/>
                <w:sz w:val="18"/>
              </w:rPr>
              <w:t>周会后24小时</w:t>
            </w:r>
          </w:p>
        </w:tc>
        <w:tc>
          <w:tcPr>
            <w:tcW w:type="dxa" w:w="55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A1816"/>
                <w:sz w:val="18"/>
              </w:rPr>
              <w:t>补齐每个工作包的测评Owner与测评开发Owner。</w:t>
            </w:r>
          </w:p>
        </w:tc>
        <w:tc>
          <w:tcPr>
            <w:tcW w:type="dxa" w:w="18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A1816"/>
                <w:sz w:val="18"/>
              </w:rPr>
              <w:t>A2904-说话人04牵头确认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A1816"/>
                <w:sz w:val="18"/>
              </w:rPr>
              <w:t>下次周会前</w:t>
            </w:r>
          </w:p>
        </w:tc>
        <w:tc>
          <w:tcPr>
            <w:tcW w:type="dxa" w:w="55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A1816"/>
                <w:sz w:val="18"/>
              </w:rPr>
              <w:t>每个方案Owner提交一页MVP方案：目标、边界、依赖、排期。</w:t>
            </w:r>
          </w:p>
        </w:tc>
        <w:tc>
          <w:tcPr>
            <w:tcW w:type="dxa" w:w="18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A1816"/>
                <w:sz w:val="18"/>
              </w:rPr>
              <w:t>各工作包方案Owner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A1816"/>
                <w:sz w:val="18"/>
              </w:rPr>
              <w:t>下次周会前</w:t>
            </w:r>
          </w:p>
        </w:tc>
        <w:tc>
          <w:tcPr>
            <w:tcW w:type="dxa" w:w="55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A1816"/>
                <w:sz w:val="18"/>
              </w:rPr>
              <w:t>每个测评Owner提交样例任务、验收标准、试用对象名单。</w:t>
            </w:r>
          </w:p>
        </w:tc>
        <w:tc>
          <w:tcPr>
            <w:tcW w:type="dxa" w:w="18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A1816"/>
                <w:sz w:val="18"/>
              </w:rPr>
              <w:t>各工作包测评Owner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A1816"/>
                <w:sz w:val="18"/>
              </w:rPr>
              <w:t>下次周会</w:t>
            </w:r>
          </w:p>
        </w:tc>
        <w:tc>
          <w:tcPr>
            <w:tcW w:type="dxa" w:w="55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A1816"/>
                <w:sz w:val="18"/>
              </w:rPr>
              <w:t>用推进作战图复盘：哪些变绿、哪些仍为黄色、是否需要老板协调。</w:t>
            </w:r>
          </w:p>
        </w:tc>
        <w:tc>
          <w:tcPr>
            <w:tcW w:type="dxa" w:w="18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A1816"/>
                <w:sz w:val="18"/>
              </w:rPr>
              <w:t>A2904-说话人04</w:t>
            </w:r>
          </w:p>
        </w:tc>
      </w:tr>
    </w:tbl>
    <w:p>
      <w:pPr>
        <w:spacing w:before="0" w:after="80" w:line="264" w:lineRule="auto"/>
      </w:pPr>
    </w:p>
    <w:p>
      <w:pPr>
        <w:spacing w:before="280" w:after="120"/>
      </w:pPr>
      <w:r>
        <w:rPr>
          <w:rFonts w:ascii="Calibri" w:hAnsi="Calibri" w:eastAsia="Microsoft YaHei"/>
          <w:b/>
          <w:color w:val="1F4D78"/>
          <w:sz w:val="32"/>
        </w:rPr>
        <w:t>五、原始会议结论摘要</w:t>
      </w:r>
    </w:p>
    <w:p>
      <w:pPr>
        <w:pStyle w:val="ListBullet"/>
        <w:spacing w:after="80" w:line="264" w:lineRule="auto"/>
      </w:pPr>
      <w:r>
        <w:rPr>
          <w:rFonts w:ascii="Calibri" w:hAnsi="Calibri" w:eastAsia="Microsoft YaHei"/>
          <w:b w:val="0"/>
          <w:color w:val="1A1816"/>
          <w:sz w:val="21"/>
        </w:rPr>
        <w:t>专家访谈数据采用群聊机器人降级路由MVP，机器人负责收集上下文并路由给发起任务的战略同学。</w:t>
      </w:r>
    </w:p>
    <w:p>
      <w:pPr>
        <w:pStyle w:val="ListBullet"/>
        <w:spacing w:after="80" w:line="264" w:lineRule="auto"/>
      </w:pPr>
      <w:r>
        <w:rPr>
          <w:rFonts w:ascii="Calibri" w:hAnsi="Calibri" w:eastAsia="Microsoft YaHei"/>
          <w:b w:val="0"/>
          <w:color w:val="1A1816"/>
          <w:sz w:val="21"/>
        </w:rPr>
        <w:t>高阶人脉数据为加速上线暂缓全链路加密，初期仅服务菲特、柯南等核心VIP。</w:t>
      </w:r>
    </w:p>
    <w:p>
      <w:pPr>
        <w:pStyle w:val="ListBullet"/>
        <w:spacing w:after="80" w:line="264" w:lineRule="auto"/>
      </w:pPr>
      <w:r>
        <w:rPr>
          <w:rFonts w:ascii="Calibri" w:hAnsi="Calibri" w:eastAsia="Microsoft YaHei"/>
          <w:b w:val="0"/>
          <w:color w:val="1A1816"/>
          <w:sz w:val="21"/>
        </w:rPr>
        <w:t>付费数据源优先采购API接口，降低直接爬取付费网站的法律风险。</w:t>
      </w:r>
    </w:p>
    <w:p>
      <w:pPr>
        <w:pStyle w:val="ListBullet"/>
        <w:spacing w:after="80" w:line="264" w:lineRule="auto"/>
      </w:pPr>
      <w:r>
        <w:rPr>
          <w:rFonts w:ascii="Calibri" w:hAnsi="Calibri" w:eastAsia="Microsoft YaHei"/>
          <w:b w:val="0"/>
          <w:color w:val="1A1816"/>
          <w:sz w:val="21"/>
        </w:rPr>
        <w:t>知识库权限短期用LMV + Graph处理公共知识库，私密数据采用RAG，长期方案继续推进。</w:t>
      </w:r>
    </w:p>
    <w:p>
      <w:pPr>
        <w:pStyle w:val="ListBullet"/>
        <w:spacing w:after="80" w:line="264" w:lineRule="auto"/>
      </w:pPr>
      <w:r>
        <w:rPr>
          <w:rFonts w:ascii="Calibri" w:hAnsi="Calibri" w:eastAsia="Microsoft YaHei"/>
          <w:b w:val="0"/>
          <w:color w:val="1A1816"/>
          <w:sz w:val="21"/>
        </w:rPr>
        <w:t>建立固定周会机制，汇报研发进度、业务信号和数据看板，并用定量数据驱动迭代。</w:t>
      </w:r>
    </w:p>
    <w:sectPr w:rsidR="00FC693F" w:rsidRPr="0006063C" w:rsidSect="00034616">
      <w:footerReference w:type="default" r:id="rId9"/>
      <w:pgSz w:w="12240" w:h="15840"/>
      <w:pgMar w:top="1152" w:right="1152" w:bottom="1152" w:left="1152" w:header="648" w:footer="64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b w:val="0"/>
        <w:color w:val="5C5852"/>
        <w:sz w:val="18"/>
      </w:rPr>
      <w:t>战略BP Agent周会 · 老板汇报版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