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eastAsia="Microsoft YaHei"/>
          <w:b/>
          <w:color w:val="262626"/>
          <w:sz w:val="36"/>
        </w:rPr>
        <w:t>战略BP Agent数据源接入与知识库建设 PMO总表</w:t>
      </w:r>
    </w:p>
    <w:p>
      <w:pPr>
        <w:spacing w:after="160"/>
      </w:pPr>
      <w:r>
        <w:rPr>
          <w:rFonts w:ascii="Calibri" w:hAnsi="Calibri" w:eastAsia="Microsoft YaHei"/>
          <w:b w:val="0"/>
          <w:color w:val="5A5A5A"/>
          <w:sz w:val="19"/>
        </w:rPr>
        <w:t>口径：仿照早期PMO表，将 owner 拆成方案 / 测评 / 测评开发 / 试用对象，便于老板扫全局与抓卡点。</w:t>
      </w:r>
    </w:p>
    <w:tbl>
      <w:tblPr>
        <w:tblW w:type="dxa" w:w="14400"/>
        <w:jc w:val="center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3F3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62626"/>
                <w:sz w:val="20"/>
              </w:rPr>
            </w:r>
            <w:r>
              <w:rPr>
                <w:rFonts w:ascii="Calibri" w:hAnsi="Calibri" w:eastAsia="Microsoft YaHei"/>
                <w:b/>
                <w:color w:val="262626"/>
                <w:sz w:val="20"/>
              </w:rPr>
              <w:t>topic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3F3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62626"/>
                <w:sz w:val="20"/>
              </w:rPr>
            </w:r>
            <w:r>
              <w:rPr>
                <w:rFonts w:ascii="Calibri" w:hAnsi="Calibri" w:eastAsia="Microsoft YaHei"/>
                <w:b/>
                <w:color w:val="262626"/>
                <w:sz w:val="20"/>
              </w:rPr>
              <w:t>todo / deliverable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3F3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62626"/>
                <w:sz w:val="20"/>
              </w:rPr>
            </w:r>
            <w:r>
              <w:rPr>
                <w:rFonts w:ascii="Calibri" w:hAnsi="Calibri" w:eastAsia="Microsoft YaHei"/>
                <w:b/>
                <w:color w:val="262626"/>
                <w:sz w:val="20"/>
              </w:rPr>
              <w:t>ddl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3F3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62626"/>
                <w:sz w:val="20"/>
              </w:rPr>
            </w:r>
            <w:r>
              <w:rPr>
                <w:rFonts w:ascii="Calibri" w:hAnsi="Calibri" w:eastAsia="Microsoft YaHei"/>
                <w:b/>
                <w:color w:val="262626"/>
                <w:sz w:val="20"/>
              </w:rPr>
              <w:t>state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3F3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62626"/>
                <w:sz w:val="20"/>
              </w:rPr>
            </w:r>
            <w:r>
              <w:rPr>
                <w:rFonts w:ascii="Calibri" w:hAnsi="Calibri" w:eastAsia="Microsoft YaHei"/>
                <w:b/>
                <w:color w:val="262626"/>
                <w:sz w:val="20"/>
              </w:rPr>
              <w:t>方案 owner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3F3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62626"/>
                <w:sz w:val="20"/>
              </w:rPr>
            </w:r>
            <w:r>
              <w:rPr>
                <w:rFonts w:ascii="Calibri" w:hAnsi="Calibri" w:eastAsia="Microsoft YaHei"/>
                <w:b/>
                <w:color w:val="262626"/>
                <w:sz w:val="20"/>
              </w:rPr>
              <w:t>测评 owner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3F3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62626"/>
                <w:sz w:val="20"/>
              </w:rPr>
            </w:r>
            <w:r>
              <w:rPr>
                <w:rFonts w:ascii="Calibri" w:hAnsi="Calibri" w:eastAsia="Microsoft YaHei"/>
                <w:b/>
                <w:color w:val="262626"/>
                <w:sz w:val="20"/>
              </w:rPr>
              <w:t>测评开发 owner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3F3"/>
          </w:tcPr>
          <w:p>
            <w:pPr>
              <w:spacing w:after="0" w:line="252" w:lineRule="auto"/>
              <w:jc w:val="center"/>
            </w:pPr>
            <w:r>
              <w:rPr>
                <w:rFonts w:ascii="Calibri" w:hAnsi="Calibri" w:eastAsia="Microsoft YaHei"/>
                <w:b/>
                <w:color w:val="262626"/>
                <w:sz w:val="20"/>
              </w:rPr>
            </w:r>
            <w:r>
              <w:rPr>
                <w:rFonts w:ascii="Calibri" w:hAnsi="Calibri" w:eastAsia="Microsoft YaHei"/>
                <w:b/>
                <w:color w:val="262626"/>
                <w:sz w:val="20"/>
              </w:rPr>
              <w:t>试用对象 / 推进路径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 w:val="restart"/>
            <w:shd w:fill="F7F7F7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高阶人脉查询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高阶人脉查询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【安全】高阶人脉数据快速接入：先支持菲特、柯南等VIP检索；全链路加密暂缓，补书面安全边界。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下周周会前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进行中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1608晨曦-说话人01</w:t>
              <w:br/>
              <w:t>A2904-说话人01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待定：建议VIP服务方 / 核心用户代表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林鹤</w:t>
              <w:br/>
              <w:t>LV团队或数据引擎团队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先给菲特、柯南等核心VIP试用；不开放普通战略同学。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shd w:fill="F7F7F7"/>
          </w:tcPr>
          <w:p/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【安全】防prompt hacking、全文copy、数据可见范围与日志留存方案。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下周周会前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CE8E6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有风险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A2904-说话人01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待定：安全/业务共同验收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LV团队或数据引擎团队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与高阶人脉检索灰度同步验证；上线前明确可见人员。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 w:val="restart"/>
            <w:shd w:fill="F7F7F7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专家访谈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专家访谈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MVP方案：群聊机器人收集上下文，统一加工材料后路由给发起任务的战略同学。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下周周会前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进行中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如意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待定：发起需求的战略BP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平台工程待确认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先选1-2个供应商群试点。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shd w:fill="F7F7F7"/>
          </w:tcPr>
          <w:p/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手搓Skill：把非标需求整理成表，并分发给不同供应商群组。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下周周会前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EFE7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未开始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A2904-说话人03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待定：战略BP业务验收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A2904-说话人03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覆盖标准需求分发表 + 群聊补充沟通两类场景。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付费数据源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联系供应商，确认竞品数据、行业报告等付费数据源API采购；API不可得再评估账号购买。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下周周会前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进行中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15A-H12哈利波特-说话人01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待定：战略BP业务侧提供样例问题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林鹤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先选1个高价值供应商做API PoC。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 w:val="restart"/>
            <w:shd w:fill="F7F7F7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知识库2.0</w:t>
            </w:r>
          </w:p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知识库2.0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LLM Wiki + Graph公共知识库重构；私密数据短期走RAG。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待补明确日期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进行中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15A-H12哈利波特-说话人01</w:t>
              <w:br/>
              <w:t>1608晨曦-说话人01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知识库核心使用团队待确认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待定：权限评测开发Owner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先服务业务上线卡点场景。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vMerge/>
            <w:shd w:fill="F7F7F7"/>
          </w:tcPr>
          <w:p/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知识库权限管理方案：公共/私密/越权访问边界、验收清单、上线时间点。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下周周会前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FF7D6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待确认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15A-H12哈利波特-说话人01</w:t>
              <w:br/>
              <w:t>1608晨曦-说话人01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待定：知识库核心使用团队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待定：构造权限测试集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短期方案先上线；长期权限方案继续跟进。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评测&amp;看板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战略BP数据看板：高频用户、使用场景、缺失埋点、业务信号。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持续推进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1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进行中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奇伢(Ronin)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奇伢(Ronin)</w:t>
              <w:br/>
              <w:t>业务侧补定性反馈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奇伢(Ronin)</w:t>
              <w:br/>
              <w:t>平台工程支持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战略BP高频用户先试用；周会复盘数据。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7F7F7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周会机制</w:t>
            </w:r>
          </w:p>
        </w:tc>
        <w:tc>
          <w:tcPr>
            <w:tcW w:type="dxa" w:w="41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建立每周例会：同步研发进度、业务信号、数据看板，滚动更新PMO总表。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立即生效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BEFE7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未开始</w:t>
            </w:r>
          </w:p>
        </w:tc>
        <w:tc>
          <w:tcPr>
            <w:tcW w:type="dxa" w:w="180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A2904-说话人04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A2904-说话人04</w:t>
            </w:r>
          </w:p>
        </w:tc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6F8FF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不涉及</w:t>
            </w:r>
          </w:p>
        </w:tc>
        <w:tc>
          <w:tcPr>
            <w:tcW w:type="dxa" w:w="273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</w:r>
            <w:r>
              <w:rPr>
                <w:rFonts w:ascii="Calibri" w:hAnsi="Calibri" w:eastAsia="Microsoft YaHei"/>
                <w:b w:val="0"/>
                <w:color w:val="262626"/>
                <w:sz w:val="17"/>
              </w:rPr>
              <w:t>所有工作包Owner参会；每周更新状态与卡点。</w:t>
            </w:r>
          </w:p>
        </w:tc>
      </w:tr>
    </w:tbl>
    <w:p>
      <w:pPr>
        <w:spacing w:before="160" w:after="0"/>
      </w:pPr>
      <w:r>
        <w:rPr>
          <w:rFonts w:ascii="Calibri" w:hAnsi="Calibri" w:eastAsia="Microsoft YaHei"/>
          <w:b/>
          <w:color w:val="5A5A5A"/>
          <w:sz w:val="19"/>
        </w:rPr>
        <w:t>老板关注：黄色/风险项需要下次周会直接点名补齐；尤其是测评Owner、测评开发Owner和试用对象范围。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