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r w:rsidR="006A2AA0">
        <w:rPr>
          <w:rFonts w:ascii="Century Gothic" w:hAnsi="Century Gothic" w:cs="Tahoma"/>
          <w:b/>
          <w:sz w:val="18"/>
          <w:szCs w:val="18"/>
        </w:rPr>
        <w:t>-ADMINISTRATIVO II-</w:t>
      </w:r>
    </w:p>
    <w:p w:rsidR="00B9522B" w:rsidRPr="00155B24" w:rsidRDefault="0052429E" w:rsidP="0052429E">
      <w:pPr>
        <w:jc w:val="center"/>
        <w:rPr>
          <w:rFonts w:ascii="Century Gothic" w:hAnsi="Century Gothic" w:cs="Calibri"/>
          <w:b/>
          <w:color w:val="000000"/>
          <w:sz w:val="18"/>
          <w:szCs w:val="18"/>
        </w:rPr>
      </w:pPr>
      <w:r>
        <w:rPr>
          <w:rFonts w:ascii="Century Gothic" w:hAnsi="Century Gothic" w:cs="Calibri"/>
          <w:b/>
          <w:color w:val="000000"/>
          <w:sz w:val="18"/>
          <w:szCs w:val="18"/>
        </w:rPr>
        <w:t>TÉCNICO</w:t>
      </w:r>
      <w:r w:rsidR="00B9522B">
        <w:rPr>
          <w:rFonts w:ascii="Century Gothic" w:hAnsi="Century Gothic" w:cs="Calibri"/>
          <w:b/>
          <w:color w:val="000000"/>
          <w:sz w:val="18"/>
          <w:szCs w:val="18"/>
        </w:rPr>
        <w:t xml:space="preserve"> DE LOGÍSTICA</w:t>
      </w:r>
    </w:p>
    <w:p w:rsidR="00210FE4" w:rsidRPr="006042D6" w:rsidRDefault="00210FE4" w:rsidP="00515BDD">
      <w:pPr>
        <w:ind w:left="360"/>
        <w:jc w:val="both"/>
        <w:rPr>
          <w:rFonts w:ascii="Century Gothic" w:hAnsi="Century Gothic" w:cs="Tahoma"/>
          <w:b/>
          <w:color w:val="C0504D"/>
          <w:sz w:val="18"/>
          <w:szCs w:val="18"/>
        </w:rPr>
      </w:pP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73463E" w:rsidRDefault="00537AB5" w:rsidP="0073463E">
      <w:pPr>
        <w:jc w:val="both"/>
        <w:rPr>
          <w:rFonts w:ascii="Century Gothic" w:hAnsi="Century Gothic" w:cs="Calibri"/>
          <w:color w:val="000000"/>
          <w:sz w:val="18"/>
          <w:szCs w:val="18"/>
        </w:rPr>
      </w:pPr>
      <w:r w:rsidRPr="0073463E">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Default="001629F8" w:rsidP="001629F8">
      <w:pPr>
        <w:pStyle w:val="Prrafodelista"/>
        <w:ind w:left="0"/>
        <w:jc w:val="both"/>
        <w:rPr>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F3051C" w:rsidP="007E6C04">
      <w:pPr>
        <w:jc w:val="both"/>
        <w:rPr>
          <w:rFonts w:ascii="Century Gothic" w:hAnsi="Century Gothic" w:cs="Calibri"/>
          <w:color w:val="000000"/>
          <w:sz w:val="18"/>
          <w:szCs w:val="18"/>
        </w:rPr>
      </w:pPr>
      <w:r>
        <w:rPr>
          <w:rFonts w:ascii="Century Gothic" w:hAnsi="Century Gothic" w:cs="Calibri"/>
          <w:color w:val="000000"/>
          <w:sz w:val="18"/>
          <w:szCs w:val="18"/>
        </w:rPr>
        <w:t>Durante el desarrollo del proceso de empadronamiento, el personal de logística desempeña el rol de proveer insumos, gestionar la recepción y entrega de documentación verificando la calidad, completitud e integridad de estos documentos</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FE0B2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Actas de entrega de documentación </w:t>
      </w:r>
      <w:r w:rsidR="00F3051C">
        <w:rPr>
          <w:rFonts w:ascii="Century Gothic" w:hAnsi="Century Gothic" w:cs="Calibri"/>
          <w:color w:val="000000"/>
          <w:sz w:val="18"/>
          <w:szCs w:val="18"/>
        </w:rPr>
        <w:t>física y digital, actas de entrega de insumos y material. Formularios de empadronamiento y discos de respaldo verificados.</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537AB5" w:rsidRDefault="00537AB5" w:rsidP="0052429E">
      <w:pPr>
        <w:pStyle w:val="Sinespaciado"/>
        <w:jc w:val="both"/>
        <w:rPr>
          <w:rFonts w:ascii="Century Gothic" w:hAnsi="Century Gothic" w:cs="Tahoma"/>
          <w:color w:val="FF0000"/>
          <w:sz w:val="18"/>
          <w:szCs w:val="18"/>
          <w:lang w:eastAsia="es-ES"/>
        </w:rPr>
      </w:pPr>
    </w:p>
    <w:p w:rsidR="007E6C04" w:rsidRPr="008A7246" w:rsidRDefault="007E6C04" w:rsidP="007E6C04">
      <w:pPr>
        <w:ind w:left="142"/>
        <w:jc w:val="both"/>
        <w:rPr>
          <w:rFonts w:ascii="Century Gothic" w:hAnsi="Century Gothic" w:cs="Calibri"/>
          <w:color w:val="000000"/>
          <w:sz w:val="18"/>
          <w:szCs w:val="18"/>
        </w:rPr>
      </w:pPr>
      <w:r w:rsidRPr="008A7246">
        <w:rPr>
          <w:rFonts w:ascii="Century Gothic" w:hAnsi="Century Gothic" w:cs="Calibri"/>
          <w:color w:val="000000"/>
          <w:sz w:val="18"/>
          <w:szCs w:val="18"/>
        </w:rPr>
        <w:t xml:space="preserve">Las funciones a desempeñar por los </w:t>
      </w:r>
      <w:r w:rsidR="0052429E" w:rsidRPr="008A7246">
        <w:rPr>
          <w:rFonts w:ascii="Century Gothic" w:hAnsi="Century Gothic" w:cs="Calibri"/>
          <w:color w:val="000000"/>
          <w:sz w:val="18"/>
          <w:szCs w:val="18"/>
        </w:rPr>
        <w:t>Técnicos de Logística</w:t>
      </w:r>
      <w:r w:rsidRPr="008A7246">
        <w:rPr>
          <w:rFonts w:ascii="Century Gothic" w:hAnsi="Century Gothic" w:cs="Calibri"/>
          <w:color w:val="000000"/>
          <w:sz w:val="18"/>
          <w:szCs w:val="18"/>
        </w:rPr>
        <w:t xml:space="preserve"> durante la etapa de empadronamiento serán las siguientes:</w:t>
      </w:r>
    </w:p>
    <w:p w:rsidR="00FE0B22" w:rsidRPr="008A7246" w:rsidRDefault="008A7246" w:rsidP="00FE0B22">
      <w:pPr>
        <w:pStyle w:val="Sinespaciado"/>
        <w:numPr>
          <w:ilvl w:val="0"/>
          <w:numId w:val="35"/>
        </w:numPr>
        <w:jc w:val="both"/>
        <w:rPr>
          <w:rFonts w:ascii="Century Gothic" w:hAnsi="Century Gothic" w:cs="Tahoma"/>
          <w:color w:val="FF0000"/>
          <w:sz w:val="18"/>
          <w:szCs w:val="18"/>
          <w:lang w:eastAsia="es-ES"/>
        </w:rPr>
      </w:pPr>
      <w:r w:rsidRPr="008A7246">
        <w:rPr>
          <w:rFonts w:ascii="Century Gothic" w:hAnsi="Century Gothic" w:cs="Tahoma"/>
          <w:color w:val="FF0000"/>
          <w:sz w:val="18"/>
          <w:szCs w:val="18"/>
          <w:lang w:eastAsia="es-ES"/>
        </w:rPr>
        <w:t>Realizar tareas de apoyo en servicios</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Realizar el seguimiento y emitir permanente reportes estadísticos referentes al estado de recepción e inventario de formularios de empadronamiento y </w:t>
      </w:r>
      <w:proofErr w:type="spellStart"/>
      <w:r w:rsidRPr="008A7246">
        <w:rPr>
          <w:rFonts w:ascii="Century Gothic" w:hAnsi="Century Gothic" w:cs="Arial"/>
          <w:sz w:val="18"/>
          <w:szCs w:val="18"/>
        </w:rPr>
        <w:t>backups</w:t>
      </w:r>
      <w:proofErr w:type="spellEnd"/>
      <w:r w:rsidRPr="008A7246">
        <w:rPr>
          <w:rFonts w:ascii="Century Gothic" w:hAnsi="Century Gothic" w:cs="Arial"/>
          <w:sz w:val="18"/>
          <w:szCs w:val="18"/>
        </w:rPr>
        <w:t xml:space="preserve"> de datos.</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Coordinar la provisión de insumos y material con  Coordinadores Generales, </w:t>
      </w:r>
      <w:r w:rsidR="00F952AC">
        <w:rPr>
          <w:rFonts w:ascii="Century Gothic" w:hAnsi="Century Gothic" w:cs="Arial"/>
          <w:sz w:val="18"/>
          <w:szCs w:val="18"/>
        </w:rPr>
        <w:t xml:space="preserve">Capacitadores </w:t>
      </w:r>
      <w:r w:rsidRPr="008A7246">
        <w:rPr>
          <w:rFonts w:ascii="Century Gothic" w:hAnsi="Century Gothic" w:cs="Arial"/>
          <w:sz w:val="18"/>
          <w:szCs w:val="18"/>
        </w:rPr>
        <w:t>y Notarios.</w:t>
      </w:r>
    </w:p>
    <w:p w:rsidR="00FE0B22" w:rsidRPr="008A7246" w:rsidRDefault="00DA51AB"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Verificación de actas, formularios o informes de recepción, v</w:t>
      </w:r>
      <w:r w:rsidR="00FE0B22" w:rsidRPr="008A7246">
        <w:rPr>
          <w:rFonts w:ascii="Century Gothic" w:hAnsi="Century Gothic" w:cs="Arial"/>
          <w:sz w:val="18"/>
          <w:szCs w:val="18"/>
        </w:rPr>
        <w:t>erificación y control de calidad de formularios de empadronamiento biométrico.</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 xml:space="preserve">Contrastación de la consistencia de </w:t>
      </w:r>
      <w:proofErr w:type="spellStart"/>
      <w:r w:rsidRPr="008A7246">
        <w:rPr>
          <w:rFonts w:ascii="Century Gothic" w:hAnsi="Century Gothic" w:cs="Arial"/>
          <w:sz w:val="18"/>
          <w:szCs w:val="18"/>
        </w:rPr>
        <w:t>backup</w:t>
      </w:r>
      <w:proofErr w:type="spellEnd"/>
      <w:r w:rsidRPr="008A7246">
        <w:rPr>
          <w:rFonts w:ascii="Century Gothic" w:hAnsi="Century Gothic" w:cs="Arial"/>
          <w:sz w:val="18"/>
          <w:szCs w:val="18"/>
        </w:rPr>
        <w:t xml:space="preserve"> de datos y formularios de empadronamiento.</w:t>
      </w:r>
    </w:p>
    <w:p w:rsidR="00FE0B22" w:rsidRPr="00F952AC" w:rsidRDefault="00FE0B22" w:rsidP="00F952AC">
      <w:pPr>
        <w:jc w:val="both"/>
        <w:rPr>
          <w:rFonts w:ascii="Century Gothic" w:hAnsi="Century Gothic" w:cs="Arial"/>
          <w:sz w:val="18"/>
          <w:szCs w:val="18"/>
        </w:rPr>
      </w:pPr>
    </w:p>
    <w:p w:rsidR="00FE0B22" w:rsidRPr="008A7246" w:rsidRDefault="008A7246" w:rsidP="00FE0B22">
      <w:pPr>
        <w:pStyle w:val="Sinespaciado"/>
        <w:numPr>
          <w:ilvl w:val="0"/>
          <w:numId w:val="35"/>
        </w:numPr>
        <w:jc w:val="both"/>
        <w:rPr>
          <w:rFonts w:ascii="Century Gothic" w:hAnsi="Century Gothic" w:cs="Tahoma"/>
          <w:color w:val="FF0000"/>
          <w:sz w:val="18"/>
          <w:szCs w:val="18"/>
          <w:lang w:eastAsia="es-ES"/>
        </w:rPr>
      </w:pPr>
      <w:r w:rsidRPr="008A7246">
        <w:rPr>
          <w:rFonts w:ascii="Century Gothic" w:hAnsi="Century Gothic" w:cs="Tahoma"/>
          <w:color w:val="FF0000"/>
          <w:sz w:val="18"/>
          <w:szCs w:val="18"/>
          <w:lang w:eastAsia="es-ES"/>
        </w:rPr>
        <w:t>Otras funciones asignadas por el supervisor</w:t>
      </w:r>
    </w:p>
    <w:p w:rsidR="00FE0B22"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52429E" w:rsidRPr="008A7246" w:rsidRDefault="00FE0B22" w:rsidP="00FE0B22">
      <w:pPr>
        <w:pStyle w:val="Prrafodelista"/>
        <w:ind w:left="709"/>
        <w:jc w:val="both"/>
        <w:rPr>
          <w:rFonts w:ascii="Century Gothic" w:hAnsi="Century Gothic" w:cs="Arial"/>
          <w:sz w:val="18"/>
          <w:szCs w:val="18"/>
        </w:rPr>
      </w:pPr>
      <w:r w:rsidRPr="008A7246">
        <w:rPr>
          <w:rFonts w:ascii="Century Gothic" w:hAnsi="Century Gothic" w:cs="Arial"/>
          <w:sz w:val="18"/>
          <w:szCs w:val="18"/>
        </w:rPr>
        <w:t>Emisión de Informes de resultados e informes estadísticos a autoridad competente.</w:t>
      </w:r>
    </w:p>
    <w:p w:rsidR="0080196A" w:rsidRPr="0006667F" w:rsidRDefault="0080196A" w:rsidP="00A77A5C">
      <w:pPr>
        <w:pStyle w:val="Sinespaciado"/>
        <w:ind w:left="1134" w:hanging="567"/>
        <w:jc w:val="both"/>
        <w:rPr>
          <w:rFonts w:ascii="Century Gothic" w:hAnsi="Century Gothic" w:cs="Tahoma"/>
          <w:color w:val="FF0000"/>
          <w:sz w:val="18"/>
          <w:szCs w:val="18"/>
          <w:lang w:eastAsia="es-ES"/>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e</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Perfil requerido para el servicio de consultoría </w:t>
      </w:r>
    </w:p>
    <w:p w:rsidR="006A395C" w:rsidRDefault="006A395C" w:rsidP="00865471">
      <w:pPr>
        <w:jc w:val="both"/>
        <w:rPr>
          <w:rFonts w:ascii="Century Gothic" w:hAnsi="Century Gothic"/>
          <w:sz w:val="18"/>
          <w:szCs w:val="18"/>
        </w:rPr>
      </w:pPr>
    </w:p>
    <w:p w:rsidR="0080196A" w:rsidRDefault="0080196A" w:rsidP="00515BDD">
      <w:pPr>
        <w:jc w:val="both"/>
        <w:rPr>
          <w:rFonts w:ascii="Century Gothic" w:hAnsi="Century Gothic"/>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376E5F" w:rsidTr="008A7246">
        <w:trPr>
          <w:trHeight w:val="37"/>
        </w:trPr>
        <w:tc>
          <w:tcPr>
            <w:tcW w:w="66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Arial"/>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376E5F" w:rsidRDefault="00376E5F" w:rsidP="00CC5FF0">
            <w:pPr>
              <w:rPr>
                <w:rFonts w:ascii="Century Gothic" w:hAnsi="Century Gothic" w:cs="Calibri"/>
                <w:color w:val="000000"/>
                <w:sz w:val="18"/>
                <w:szCs w:val="18"/>
                <w:lang w:eastAsia="es-BO"/>
              </w:rPr>
            </w:pPr>
            <w:r w:rsidRPr="00376E5F">
              <w:rPr>
                <w:rFonts w:ascii="Century Gothic" w:hAnsi="Century Gothic" w:cs="Calibri"/>
                <w:color w:val="000000"/>
                <w:sz w:val="18"/>
                <w:szCs w:val="18"/>
                <w:lang w:eastAsia="es-BO"/>
              </w:rPr>
              <w:t> </w:t>
            </w:r>
          </w:p>
        </w:tc>
      </w:tr>
      <w:tr w:rsidR="00376E5F" w:rsidRPr="00FF09D2" w:rsidTr="006A2AA0">
        <w:trPr>
          <w:trHeight w:val="300"/>
        </w:trPr>
        <w:tc>
          <w:tcPr>
            <w:tcW w:w="1037" w:type="pct"/>
            <w:gridSpan w:val="2"/>
            <w:tcBorders>
              <w:top w:val="nil"/>
              <w:bottom w:val="nil"/>
            </w:tcBorders>
            <w:shd w:val="clear" w:color="auto" w:fill="auto"/>
            <w:hideMark/>
          </w:tcPr>
          <w:p w:rsidR="00376E5F" w:rsidRPr="00FF09D2"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FF09D2" w:rsidRDefault="00376E5F" w:rsidP="00CC5FF0">
            <w:pPr>
              <w:rPr>
                <w:rFonts w:ascii="Century Gothic" w:hAnsi="Century Gothic" w:cs="Arial"/>
                <w:b/>
                <w:bCs/>
                <w:color w:val="000000"/>
                <w:sz w:val="18"/>
                <w:szCs w:val="18"/>
                <w:lang w:eastAsia="es-BO"/>
              </w:rPr>
            </w:pPr>
            <w:r w:rsidRPr="00FF09D2">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FF09D2" w:rsidRDefault="00376E5F" w:rsidP="00CC5FF0">
            <w:pPr>
              <w:rPr>
                <w:rFonts w:ascii="Century Gothic" w:hAnsi="Century Gothic" w:cs="Arial"/>
                <w:bCs/>
                <w:sz w:val="18"/>
                <w:szCs w:val="18"/>
              </w:rPr>
            </w:pPr>
            <w:r w:rsidRPr="00FF09D2">
              <w:rPr>
                <w:rFonts w:ascii="Century Gothic" w:hAnsi="Century Gothic" w:cs="Arial"/>
                <w:bCs/>
                <w:sz w:val="18"/>
                <w:szCs w:val="18"/>
              </w:rPr>
              <w:t>El consultor (a) debe acreditar su formación académica en:</w:t>
            </w:r>
          </w:p>
          <w:p w:rsidR="00376E5F" w:rsidRDefault="00FF09D2" w:rsidP="00A64B31">
            <w:pPr>
              <w:rPr>
                <w:rFonts w:ascii="Century Gothic" w:hAnsi="Century Gothic" w:cs="Arial"/>
                <w:bCs/>
                <w:color w:val="FF0000"/>
                <w:sz w:val="18"/>
                <w:szCs w:val="18"/>
              </w:rPr>
            </w:pPr>
            <w:bookmarkStart w:id="0" w:name="_GoBack"/>
            <w:bookmarkEnd w:id="0"/>
            <w:r w:rsidRPr="00FF09D2">
              <w:rPr>
                <w:rFonts w:ascii="Century Gothic" w:hAnsi="Century Gothic" w:cs="Arial"/>
                <w:bCs/>
                <w:sz w:val="18"/>
                <w:szCs w:val="18"/>
              </w:rPr>
              <w:t>Estudiante universitario</w:t>
            </w:r>
            <w:r w:rsidRPr="00FF09D2">
              <w:rPr>
                <w:rFonts w:ascii="Century Gothic" w:hAnsi="Century Gothic" w:cs="Arial"/>
                <w:bCs/>
                <w:color w:val="FF0000"/>
                <w:sz w:val="18"/>
                <w:szCs w:val="18"/>
              </w:rPr>
              <w:t xml:space="preserve"> </w:t>
            </w:r>
          </w:p>
          <w:p w:rsidR="006A2AA0" w:rsidRPr="00FF09D2" w:rsidRDefault="006A2AA0" w:rsidP="00A64B31">
            <w:pPr>
              <w:rPr>
                <w:rFonts w:ascii="Century Gothic" w:hAnsi="Century Gothic" w:cs="Arial"/>
                <w:bCs/>
                <w:color w:val="FF0000"/>
                <w:sz w:val="18"/>
                <w:szCs w:val="18"/>
              </w:rPr>
            </w:pPr>
          </w:p>
        </w:tc>
      </w:tr>
      <w:tr w:rsidR="006A2AA0" w:rsidRPr="00FF09D2" w:rsidTr="006A2AA0">
        <w:trPr>
          <w:trHeight w:val="1016"/>
        </w:trPr>
        <w:tc>
          <w:tcPr>
            <w:tcW w:w="1037" w:type="pct"/>
            <w:gridSpan w:val="2"/>
            <w:tcBorders>
              <w:top w:val="nil"/>
              <w:bottom w:val="single" w:sz="8" w:space="0" w:color="000000"/>
            </w:tcBorders>
            <w:shd w:val="clear" w:color="auto" w:fill="auto"/>
          </w:tcPr>
          <w:p w:rsidR="006A2AA0" w:rsidRPr="00376E5F" w:rsidRDefault="006A2AA0" w:rsidP="006A2AA0">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6A2AA0" w:rsidRPr="00376E5F" w:rsidRDefault="006A2AA0" w:rsidP="006A2AA0">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6A2AA0" w:rsidRPr="00EB7234" w:rsidRDefault="006A2AA0" w:rsidP="006A2AA0">
            <w:pPr>
              <w:jc w:val="both"/>
              <w:rPr>
                <w:rFonts w:ascii="Century Gothic" w:hAnsi="Century Gothic" w:cs="Arial"/>
                <w:bCs/>
                <w:sz w:val="18"/>
                <w:szCs w:val="18"/>
              </w:rPr>
            </w:pPr>
          </w:p>
        </w:tc>
      </w:tr>
    </w:tbl>
    <w:p w:rsidR="005A6173" w:rsidRDefault="005A6173" w:rsidP="00515BDD">
      <w:pPr>
        <w:jc w:val="both"/>
        <w:rPr>
          <w:rFonts w:ascii="Century Gothic" w:hAnsi="Century Gothic"/>
          <w:sz w:val="18"/>
          <w:szCs w:val="18"/>
        </w:rPr>
      </w:pPr>
    </w:p>
    <w:p w:rsidR="000C69B7" w:rsidRPr="00A83264"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f) </w:t>
      </w:r>
      <w:r w:rsidR="00744C0D" w:rsidRPr="006D4A58">
        <w:rPr>
          <w:rFonts w:ascii="Century Gothic" w:hAnsi="Century Gothic" w:cs="Calibri"/>
          <w:b/>
          <w:bCs/>
          <w:color w:val="5F497A"/>
          <w:sz w:val="20"/>
          <w:szCs w:val="20"/>
        </w:rPr>
        <w:t>Documentos</w:t>
      </w:r>
      <w:r w:rsidRPr="006D4A58">
        <w:rPr>
          <w:rFonts w:ascii="Century Gothic" w:hAnsi="Century Gothic" w:cs="Calibri"/>
          <w:b/>
          <w:bCs/>
          <w:color w:val="5F497A"/>
          <w:sz w:val="20"/>
          <w:szCs w:val="20"/>
        </w:rPr>
        <w:t xml:space="preserve"> a presentar por los postulantes </w:t>
      </w:r>
      <w:r w:rsidRPr="006042D6">
        <w:rPr>
          <w:rFonts w:ascii="Century Gothic" w:hAnsi="Century Gothic" w:cs="Calibri"/>
          <w:bCs/>
          <w:color w:val="5F497A"/>
          <w:sz w:val="18"/>
          <w:szCs w:val="18"/>
        </w:rPr>
        <w:t xml:space="preserve"> </w:t>
      </w:r>
    </w:p>
    <w:p w:rsidR="000C69B7" w:rsidRPr="006042D6" w:rsidRDefault="000C69B7" w:rsidP="00515BDD">
      <w:pPr>
        <w:jc w:val="both"/>
        <w:rPr>
          <w:rFonts w:ascii="Century Gothic" w:hAnsi="Century Gothic" w:cs="Calibri"/>
          <w:b/>
          <w:bCs/>
          <w:color w:val="5F497A"/>
          <w:sz w:val="18"/>
          <w:szCs w:val="18"/>
        </w:rPr>
      </w:pPr>
    </w:p>
    <w:p w:rsidR="00CC7B75" w:rsidRPr="006042D6" w:rsidRDefault="00CC7B75" w:rsidP="00515BDD">
      <w:pPr>
        <w:jc w:val="both"/>
        <w:rPr>
          <w:rFonts w:ascii="Century Gothic" w:hAnsi="Century Gothic" w:cs="Calibri"/>
          <w:b/>
          <w:bCs/>
          <w:color w:val="5F497A"/>
          <w:sz w:val="18"/>
          <w:szCs w:val="18"/>
        </w:rPr>
      </w:pPr>
      <w:r w:rsidRPr="006042D6">
        <w:rPr>
          <w:rFonts w:ascii="Century Gothic" w:hAnsi="Century Gothic" w:cs="Calibri"/>
          <w:bCs/>
          <w:color w:val="000000"/>
          <w:sz w:val="18"/>
          <w:szCs w:val="18"/>
        </w:rPr>
        <w:t>La presentación de los documentos por parte de los postulantes, deben</w:t>
      </w:r>
      <w:r w:rsidR="00A54B87" w:rsidRPr="006042D6">
        <w:rPr>
          <w:rFonts w:ascii="Century Gothic" w:hAnsi="Century Gothic" w:cs="Calibri"/>
          <w:bCs/>
          <w:color w:val="000000"/>
          <w:sz w:val="18"/>
          <w:szCs w:val="18"/>
        </w:rPr>
        <w:t xml:space="preserve"> seguir el orden de los puntos </w:t>
      </w:r>
      <w:r w:rsidR="008342ED" w:rsidRPr="006042D6">
        <w:rPr>
          <w:rFonts w:ascii="Century Gothic" w:hAnsi="Century Gothic" w:cs="Calibri"/>
          <w:bCs/>
          <w:color w:val="000000"/>
          <w:sz w:val="18"/>
          <w:szCs w:val="18"/>
        </w:rPr>
        <w:t>f1 y f2</w:t>
      </w:r>
      <w:r w:rsidR="00A54B87" w:rsidRPr="006042D6">
        <w:rPr>
          <w:rFonts w:ascii="Century Gothic" w:hAnsi="Century Gothic" w:cs="Calibri"/>
          <w:bCs/>
          <w:color w:val="000000"/>
          <w:sz w:val="18"/>
          <w:szCs w:val="18"/>
        </w:rPr>
        <w:t xml:space="preserve">. </w:t>
      </w: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f.1)</w:t>
      </w:r>
      <w:r w:rsidR="000C69B7" w:rsidRPr="006D4A58">
        <w:rPr>
          <w:rFonts w:ascii="Century Gothic" w:hAnsi="Century Gothic" w:cs="Calibri"/>
          <w:b/>
          <w:bCs/>
          <w:color w:val="5F497A"/>
          <w:sz w:val="20"/>
          <w:szCs w:val="20"/>
        </w:rPr>
        <w:t xml:space="preserve"> Documentos originales</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Certificado de estar registrado en el Padrón Electoral emitido por SERECI.</w:t>
      </w:r>
    </w:p>
    <w:p w:rsidR="006A2AA0" w:rsidRPr="00973E0F" w:rsidRDefault="006A2AA0" w:rsidP="006A2AA0">
      <w:pPr>
        <w:numPr>
          <w:ilvl w:val="0"/>
          <w:numId w:val="36"/>
        </w:numPr>
        <w:autoSpaceDE w:val="0"/>
        <w:autoSpaceDN w:val="0"/>
        <w:adjustRightInd w:val="0"/>
        <w:spacing w:after="15"/>
        <w:ind w:left="1418" w:hanging="284"/>
        <w:rPr>
          <w:rFonts w:ascii="Century Gothic" w:hAnsi="Century Gothic" w:cs="Calibri"/>
          <w:bCs/>
          <w:sz w:val="18"/>
          <w:szCs w:val="18"/>
        </w:rPr>
      </w:pPr>
      <w:r w:rsidRPr="00973E0F">
        <w:rPr>
          <w:rFonts w:ascii="Century Gothic" w:hAnsi="Century Gothic" w:cs="Calibri"/>
          <w:bCs/>
          <w:sz w:val="18"/>
          <w:szCs w:val="18"/>
        </w:rPr>
        <w:t xml:space="preserve">Declaración jurada de inexistencia de parentesco con autoridades y personal del SERECI o Tribunal Electoral Departamental de </w:t>
      </w:r>
      <w:r w:rsidR="00F952AC">
        <w:rPr>
          <w:rFonts w:ascii="Century Gothic" w:hAnsi="Century Gothic" w:cs="Calibri"/>
          <w:bCs/>
          <w:sz w:val="18"/>
          <w:szCs w:val="18"/>
        </w:rPr>
        <w:t>Oruro.</w:t>
      </w:r>
    </w:p>
    <w:p w:rsidR="00743565" w:rsidRPr="00622691" w:rsidRDefault="00743565" w:rsidP="00622691">
      <w:pPr>
        <w:ind w:left="1418"/>
        <w:jc w:val="both"/>
        <w:rPr>
          <w:rFonts w:ascii="Century Gothic" w:hAnsi="Century Gothic" w:cs="Calibri"/>
          <w:bCs/>
          <w:sz w:val="18"/>
          <w:szCs w:val="18"/>
        </w:rPr>
      </w:pPr>
    </w:p>
    <w:p w:rsidR="000C69B7" w:rsidRPr="006D4A58" w:rsidRDefault="00107170" w:rsidP="00515BD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f.2)</w:t>
      </w:r>
      <w:r w:rsidR="000C69B7" w:rsidRPr="006D4A58">
        <w:rPr>
          <w:rFonts w:ascii="Century Gothic" w:hAnsi="Century Gothic" w:cs="Calibri"/>
          <w:b/>
          <w:bCs/>
          <w:color w:val="5F497A"/>
          <w:sz w:val="20"/>
          <w:szCs w:val="20"/>
        </w:rPr>
        <w:t xml:space="preserve"> Documentos en fotocopia</w:t>
      </w:r>
      <w:r w:rsidR="00375B6B" w:rsidRPr="006D4A58">
        <w:rPr>
          <w:rFonts w:ascii="Century Gothic" w:hAnsi="Century Gothic" w:cs="Calibri"/>
          <w:b/>
          <w:bCs/>
          <w:color w:val="5F497A"/>
          <w:sz w:val="20"/>
          <w:szCs w:val="20"/>
        </w:rPr>
        <w:t xml:space="preserve"> legible</w:t>
      </w:r>
    </w:p>
    <w:p w:rsidR="00743565" w:rsidRPr="00622691" w:rsidRDefault="00743565" w:rsidP="00515BDD">
      <w:pPr>
        <w:ind w:left="708"/>
        <w:jc w:val="both"/>
        <w:rPr>
          <w:rFonts w:ascii="Century Gothic" w:hAnsi="Century Gothic" w:cs="Calibri"/>
          <w:b/>
          <w:bCs/>
          <w:color w:val="5F497A"/>
          <w:sz w:val="18"/>
          <w:szCs w:val="18"/>
        </w:rPr>
      </w:pPr>
    </w:p>
    <w:p w:rsidR="006A2AA0" w:rsidRPr="00622691" w:rsidRDefault="006A2AA0" w:rsidP="006A2AA0">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 de Cédula de Identidad (Vigente)</w:t>
      </w:r>
    </w:p>
    <w:p w:rsidR="006A2AA0" w:rsidRPr="00622691" w:rsidRDefault="006A2AA0" w:rsidP="006A2AA0">
      <w:pPr>
        <w:numPr>
          <w:ilvl w:val="0"/>
          <w:numId w:val="18"/>
        </w:numPr>
        <w:ind w:left="1418" w:hanging="284"/>
        <w:jc w:val="both"/>
        <w:rPr>
          <w:rFonts w:ascii="Century Gothic" w:hAnsi="Century Gothic" w:cs="Calibri"/>
          <w:bCs/>
          <w:sz w:val="18"/>
          <w:szCs w:val="18"/>
        </w:rPr>
      </w:pPr>
      <w:r w:rsidRPr="00622691">
        <w:rPr>
          <w:rFonts w:ascii="Century Gothic" w:hAnsi="Century Gothic" w:cs="Calibri"/>
          <w:bCs/>
          <w:sz w:val="18"/>
          <w:szCs w:val="18"/>
        </w:rPr>
        <w:t>Fotocopias de Títulos y Certificados de acuerdo al perfil requerido para el servicio de consultoría.</w:t>
      </w:r>
    </w:p>
    <w:p w:rsidR="006A2AA0" w:rsidRPr="00622691" w:rsidRDefault="006A2AA0" w:rsidP="006A2AA0">
      <w:pPr>
        <w:ind w:left="1418"/>
        <w:jc w:val="both"/>
        <w:rPr>
          <w:rFonts w:ascii="Century Gothic" w:hAnsi="Century Gothic" w:cs="Calibri"/>
          <w:bCs/>
          <w:sz w:val="18"/>
          <w:szCs w:val="18"/>
        </w:rPr>
      </w:pPr>
    </w:p>
    <w:p w:rsidR="006A2AA0" w:rsidRPr="006042D6" w:rsidRDefault="006A2AA0" w:rsidP="006A2AA0">
      <w:pPr>
        <w:ind w:left="708"/>
        <w:jc w:val="both"/>
        <w:rPr>
          <w:rFonts w:ascii="Century Gothic" w:hAnsi="Century Gothic" w:cs="Calibri"/>
          <w:b/>
          <w:bCs/>
          <w:color w:val="5F497A"/>
          <w:sz w:val="18"/>
          <w:szCs w:val="18"/>
        </w:rPr>
      </w:pPr>
      <w:r w:rsidRPr="00622691">
        <w:rPr>
          <w:rFonts w:ascii="Century Gothic" w:hAnsi="Century Gothic" w:cs="Calibri"/>
          <w:bCs/>
          <w:color w:val="000000"/>
          <w:sz w:val="18"/>
          <w:szCs w:val="18"/>
        </w:rPr>
        <w:t xml:space="preserve">La experiencia </w:t>
      </w:r>
      <w:r w:rsidRPr="00DA4AD6">
        <w:rPr>
          <w:rFonts w:ascii="Century Gothic" w:hAnsi="Century Gothic" w:cs="Calibri"/>
          <w:bCs/>
          <w:color w:val="000000"/>
          <w:sz w:val="18"/>
          <w:szCs w:val="18"/>
        </w:rPr>
        <w:t>específica</w:t>
      </w:r>
      <w:r w:rsidRPr="00622691">
        <w:rPr>
          <w:rFonts w:ascii="Century Gothic" w:hAnsi="Century Gothic" w:cs="Calibri"/>
          <w:bCs/>
          <w:color w:val="000000"/>
          <w:sz w:val="18"/>
          <w:szCs w:val="18"/>
        </w:rPr>
        <w:t xml:space="preserve"> </w:t>
      </w:r>
      <w:r>
        <w:rPr>
          <w:rFonts w:ascii="Century Gothic" w:hAnsi="Century Gothic" w:cs="Calibri"/>
          <w:bCs/>
          <w:color w:val="000000"/>
          <w:sz w:val="18"/>
          <w:szCs w:val="18"/>
        </w:rPr>
        <w:t xml:space="preserve">deberán </w:t>
      </w:r>
      <w:r w:rsidRPr="00622691">
        <w:rPr>
          <w:rFonts w:ascii="Century Gothic" w:hAnsi="Century Gothic" w:cs="Calibri"/>
          <w:bCs/>
          <w:color w:val="000000"/>
          <w:sz w:val="18"/>
          <w:szCs w:val="18"/>
        </w:rPr>
        <w:t>ser acreditadas por certificados de trabajo, cartas u otros en fotocopia, los mismos deben indicar la fecha de inicio y fecha de conclusión del trabajo o servicio de consultoría, o memorándums de designación y/o cesación de funciones.</w:t>
      </w:r>
      <w:r w:rsidR="00F952AC">
        <w:rPr>
          <w:rFonts w:ascii="Century Gothic" w:hAnsi="Century Gothic" w:cs="Calibri"/>
          <w:bCs/>
          <w:color w:val="000000"/>
          <w:sz w:val="18"/>
          <w:szCs w:val="18"/>
        </w:rPr>
        <w:t xml:space="preserve"> Si corresponde.</w:t>
      </w:r>
    </w:p>
    <w:p w:rsidR="000C69B7" w:rsidRPr="006042D6" w:rsidRDefault="000C69B7" w:rsidP="00515BDD">
      <w:pPr>
        <w:pStyle w:val="Prrafodelista"/>
        <w:ind w:left="1776"/>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F952AC"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22 días </w:t>
      </w:r>
      <w:r w:rsidR="00FE0B22">
        <w:rPr>
          <w:rFonts w:ascii="Century Gothic" w:hAnsi="Century Gothic" w:cs="Calibri"/>
          <w:bCs/>
          <w:color w:val="000000"/>
          <w:sz w:val="18"/>
          <w:szCs w:val="18"/>
        </w:rPr>
        <w:t xml:space="preserve">a </w:t>
      </w:r>
      <w:r w:rsidR="00E82392" w:rsidRPr="006042D6">
        <w:rPr>
          <w:rFonts w:ascii="Century Gothic" w:hAnsi="Century Gothic" w:cs="Calibri"/>
          <w:bCs/>
          <w:color w:val="000000"/>
          <w:sz w:val="18"/>
          <w:szCs w:val="18"/>
        </w:rPr>
        <w:t>partir del día siguiente</w:t>
      </w:r>
      <w:r w:rsidR="00B77010" w:rsidRPr="006042D6">
        <w:rPr>
          <w:rFonts w:ascii="Century Gothic" w:hAnsi="Century Gothic" w:cs="Calibri"/>
          <w:bCs/>
          <w:color w:val="000000"/>
          <w:sz w:val="18"/>
          <w:szCs w:val="18"/>
        </w:rPr>
        <w:t xml:space="preserve"> hábil</w:t>
      </w:r>
      <w:r w:rsidR="00E82392" w:rsidRPr="006042D6">
        <w:rPr>
          <w:rFonts w:ascii="Century Gothic" w:hAnsi="Century Gothic" w:cs="Calibri"/>
          <w:bCs/>
          <w:color w:val="000000"/>
          <w:sz w:val="18"/>
          <w:szCs w:val="18"/>
        </w:rPr>
        <w:t xml:space="preserve">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3B0125">
        <w:rPr>
          <w:rFonts w:ascii="Century Gothic" w:hAnsi="Century Gothic" w:cs="Calibri"/>
          <w:b/>
          <w:bCs/>
          <w:color w:val="5F497A"/>
          <w:sz w:val="20"/>
          <w:szCs w:val="20"/>
        </w:rPr>
        <w:t>Sueldo</w:t>
      </w:r>
      <w:r w:rsidR="00023896" w:rsidRPr="006D4A58">
        <w:rPr>
          <w:rFonts w:ascii="Century Gothic" w:hAnsi="Century Gothic" w:cs="Calibri"/>
          <w:b/>
          <w:bCs/>
          <w:color w:val="5F497A"/>
          <w:sz w:val="20"/>
          <w:szCs w:val="20"/>
        </w:rPr>
        <w:t xml:space="preserve"> </w:t>
      </w:r>
    </w:p>
    <w:p w:rsidR="006042D6" w:rsidRPr="006D4A58" w:rsidRDefault="006042D6" w:rsidP="00515BDD">
      <w:pPr>
        <w:ind w:firstLine="708"/>
        <w:jc w:val="both"/>
        <w:rPr>
          <w:rFonts w:ascii="Century Gothic" w:hAnsi="Century Gothic" w:cs="Calibri"/>
          <w:bCs/>
          <w:color w:val="000000"/>
          <w:sz w:val="14"/>
          <w:szCs w:val="18"/>
        </w:rPr>
      </w:pPr>
    </w:p>
    <w:p w:rsidR="00D71746" w:rsidRDefault="00D71746" w:rsidP="00D71746">
      <w:pPr>
        <w:ind w:left="708"/>
        <w:jc w:val="both"/>
        <w:rPr>
          <w:rFonts w:ascii="Century Gothic" w:hAnsi="Century Gothic" w:cs="Calibri"/>
          <w:bCs/>
          <w:sz w:val="18"/>
          <w:szCs w:val="18"/>
        </w:rPr>
      </w:pPr>
      <w:r>
        <w:rPr>
          <w:rFonts w:ascii="Century Gothic" w:hAnsi="Century Gothic" w:cs="Calibri"/>
          <w:bCs/>
          <w:color w:val="000000"/>
          <w:sz w:val="18"/>
          <w:szCs w:val="18"/>
        </w:rPr>
        <w:t>El pago por los Servicios prestados estará Establecido de acuerdo a la Escala salarial Aprobada por el Tribunal Supremo Electoral.</w:t>
      </w:r>
    </w:p>
    <w:p w:rsidR="008342ED" w:rsidRPr="0073463E" w:rsidRDefault="00023896" w:rsidP="00515BDD">
      <w:pPr>
        <w:jc w:val="both"/>
        <w:rPr>
          <w:rFonts w:ascii="Century Gothic" w:hAnsi="Century Gothic" w:cs="Calibri"/>
          <w:b/>
          <w:bCs/>
          <w:sz w:val="18"/>
          <w:szCs w:val="18"/>
        </w:rPr>
      </w:pPr>
      <w:r w:rsidRPr="0073463E">
        <w:rPr>
          <w:rFonts w:ascii="Century Gothic" w:hAnsi="Century Gothic" w:cs="Calibri"/>
          <w:b/>
          <w:bCs/>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 xml:space="preserve">la elaboración de planillas o transferencia electrónica vía SIGMA, contra presentación de informes mensuales de actividades aprobados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6A2AA0" w:rsidRPr="00973E0F">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73463E">
        <w:rPr>
          <w:rFonts w:ascii="Century Gothic" w:hAnsi="Century Gothic" w:cs="Calibri"/>
          <w:bCs/>
          <w:color w:val="000000"/>
          <w:sz w:val="18"/>
          <w:szCs w:val="18"/>
        </w:rPr>
        <w:t>sus actividade</w:t>
      </w:r>
      <w:r w:rsidR="00627072" w:rsidRPr="0073463E">
        <w:rPr>
          <w:rFonts w:ascii="Century Gothic" w:hAnsi="Century Gothic" w:cs="Calibri"/>
          <w:bCs/>
          <w:color w:val="000000"/>
          <w:sz w:val="18"/>
          <w:szCs w:val="18"/>
        </w:rPr>
        <w:t>s laborales, en dependencias del</w:t>
      </w:r>
      <w:r w:rsidRPr="0073463E">
        <w:rPr>
          <w:rFonts w:ascii="Century Gothic" w:hAnsi="Century Gothic" w:cs="Calibri"/>
          <w:bCs/>
          <w:color w:val="000000"/>
          <w:sz w:val="18"/>
          <w:szCs w:val="18"/>
        </w:rPr>
        <w:t xml:space="preserve"> </w:t>
      </w:r>
      <w:r w:rsidR="008A7246" w:rsidRPr="0073463E">
        <w:rPr>
          <w:rFonts w:ascii="Century Gothic" w:hAnsi="Century Gothic" w:cs="Calibri"/>
          <w:bCs/>
          <w:color w:val="000000"/>
          <w:sz w:val="18"/>
          <w:szCs w:val="18"/>
        </w:rPr>
        <w:t xml:space="preserve">Servicio de Registro Cívico </w:t>
      </w:r>
      <w:r w:rsidR="00645B79">
        <w:rPr>
          <w:rFonts w:ascii="Century Gothic" w:hAnsi="Century Gothic" w:cs="Calibri"/>
          <w:bCs/>
          <w:color w:val="000000"/>
          <w:sz w:val="18"/>
          <w:szCs w:val="18"/>
        </w:rPr>
        <w:t xml:space="preserve">Oruro </w:t>
      </w:r>
      <w:r w:rsidR="00FE0B22">
        <w:rPr>
          <w:rFonts w:ascii="Century Gothic" w:hAnsi="Century Gothic" w:cs="Calibri"/>
          <w:bCs/>
          <w:color w:val="000000"/>
          <w:sz w:val="18"/>
          <w:szCs w:val="18"/>
        </w:rPr>
        <w:t xml:space="preserve">con dedicación exclusiva y </w:t>
      </w:r>
      <w:r w:rsidR="00EB53FA" w:rsidRPr="006042D6">
        <w:rPr>
          <w:rFonts w:ascii="Century Gothic" w:hAnsi="Century Gothic" w:cs="Calibri"/>
          <w:bCs/>
          <w:color w:val="000000"/>
          <w:sz w:val="18"/>
          <w:szCs w:val="18"/>
        </w:rPr>
        <w:t>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6A2AA0" w:rsidRPr="006042D6"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El consultor deberá presentar </w:t>
      </w:r>
      <w:r>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6A2AA0"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El plazo para la presentación del informe final es de (5) cinco días hábiles posteriores a la conclusión de la prestación del servicio de consultoría.</w:t>
      </w:r>
    </w:p>
    <w:p w:rsidR="006A2AA0" w:rsidRPr="00F30908" w:rsidRDefault="006A2AA0" w:rsidP="006A2AA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lastRenderedPageBreak/>
        <w:t>Se requerirá conformidad de la Contraparte o Responsable de recepción,  para efectuar el pago</w:t>
      </w:r>
      <w:r>
        <w:rPr>
          <w:rFonts w:ascii="Century Gothic" w:eastAsia="Calibri" w:hAnsi="Century Gothic" w:cs="Arial"/>
          <w:sz w:val="18"/>
          <w:szCs w:val="18"/>
          <w:lang w:eastAsia="en-US"/>
        </w:rPr>
        <w:t>.</w:t>
      </w:r>
    </w:p>
    <w:p w:rsidR="006A2AA0" w:rsidRDefault="006A2AA0" w:rsidP="00B77010">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p>
    <w:p w:rsidR="002F30ED" w:rsidRPr="006042D6" w:rsidRDefault="002F30ED" w:rsidP="00515BDD">
      <w:pPr>
        <w:autoSpaceDE w:val="0"/>
        <w:autoSpaceDN w:val="0"/>
        <w:adjustRightInd w:val="0"/>
        <w:jc w:val="both"/>
        <w:rPr>
          <w:rFonts w:ascii="Century Gothic" w:eastAsia="Calibri" w:hAnsi="Century Gothic" w:cs="Arial"/>
          <w:sz w:val="18"/>
          <w:szCs w:val="18"/>
          <w:lang w:eastAsia="en-US"/>
        </w:rPr>
      </w:pPr>
    </w:p>
    <w:p w:rsidR="002F30ED" w:rsidRPr="006042D6" w:rsidRDefault="002F30ED" w:rsidP="00515BDD">
      <w:pPr>
        <w:jc w:val="both"/>
        <w:rPr>
          <w:rFonts w:ascii="Century Gothic" w:hAnsi="Century Gothic" w:cs="Calibri"/>
          <w:b/>
          <w:bCs/>
          <w:color w:val="5F497A"/>
          <w:sz w:val="18"/>
          <w:szCs w:val="18"/>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6A395C">
        <w:rPr>
          <w:rFonts w:ascii="Century Gothic" w:hAnsi="Century Gothic" w:cs="Calibri"/>
          <w:b/>
          <w:bCs/>
          <w:color w:val="5F497A"/>
          <w:sz w:val="20"/>
          <w:szCs w:val="20"/>
        </w:rPr>
        <w:t>7</w:t>
      </w:r>
      <w:r w:rsidR="00023896" w:rsidRPr="006D4A58">
        <w:rPr>
          <w:rFonts w:ascii="Century Gothic" w:hAnsi="Century Gothic" w:cs="Calibri"/>
          <w:b/>
          <w:bCs/>
          <w:color w:val="5F497A"/>
          <w:sz w:val="20"/>
          <w:szCs w:val="20"/>
        </w:rPr>
        <w:t xml:space="preserve">).- Contraparte </w:t>
      </w:r>
    </w:p>
    <w:p w:rsidR="000460FB" w:rsidRPr="006D4A58" w:rsidRDefault="000460FB" w:rsidP="000460FB">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6A2AA0" w:rsidRPr="006042D6"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 xml:space="preserve">La Contraparte </w:t>
      </w:r>
      <w:r>
        <w:rPr>
          <w:rFonts w:ascii="Century Gothic" w:eastAsia="Calibri" w:hAnsi="Century Gothic" w:cs="Arial"/>
          <w:color w:val="000000"/>
          <w:sz w:val="18"/>
          <w:szCs w:val="18"/>
          <w:lang w:eastAsia="en-US"/>
        </w:rPr>
        <w:t xml:space="preserve">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Servicio de Registro Cívico</w:t>
      </w:r>
      <w:r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6A2AA0" w:rsidRPr="006042D6" w:rsidRDefault="006A2AA0" w:rsidP="006A2AA0">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Pr>
          <w:rFonts w:ascii="Century Gothic" w:eastAsia="Calibri" w:hAnsi="Century Gothic" w:cs="Arial"/>
          <w:color w:val="000000"/>
          <w:sz w:val="18"/>
          <w:szCs w:val="18"/>
          <w:lang w:eastAsia="en-US"/>
        </w:rPr>
        <w:t>.</w:t>
      </w:r>
    </w:p>
    <w:p w:rsidR="006A2AA0"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Pr>
          <w:rFonts w:ascii="Century Gothic" w:eastAsia="Calibri" w:hAnsi="Century Gothic" w:cs="Arial"/>
          <w:color w:val="000000"/>
          <w:sz w:val="18"/>
          <w:szCs w:val="18"/>
          <w:lang w:eastAsia="en-US"/>
        </w:rPr>
        <w:t xml:space="preserve"> 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del servicio de la consulto</w:t>
      </w:r>
      <w:r w:rsidRPr="00912148">
        <w:rPr>
          <w:rFonts w:ascii="Century Gothic" w:eastAsia="Calibri" w:hAnsi="Century Gothic" w:cs="Arial"/>
          <w:color w:val="000000"/>
          <w:sz w:val="18"/>
          <w:szCs w:val="18"/>
          <w:lang w:eastAsia="en-US"/>
        </w:rPr>
        <w:t>ría.</w:t>
      </w:r>
    </w:p>
    <w:p w:rsidR="006A2AA0" w:rsidRPr="006A2AA0" w:rsidRDefault="006A2AA0" w:rsidP="006A2AA0">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p>
    <w:p w:rsidR="00FE0B22" w:rsidRPr="006042D6" w:rsidRDefault="00FE0B22" w:rsidP="00FE0B22">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FE0B22" w:rsidRPr="006042D6" w:rsidRDefault="00FE0B22"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Default="0073463E" w:rsidP="00FE0B22">
      <w:pPr>
        <w:autoSpaceDE w:val="0"/>
        <w:autoSpaceDN w:val="0"/>
        <w:adjustRightInd w:val="0"/>
        <w:jc w:val="both"/>
        <w:rPr>
          <w:rFonts w:ascii="Century Gothic" w:hAnsi="Century Gothic" w:cs="Calibri"/>
          <w:color w:val="000000"/>
          <w:sz w:val="18"/>
          <w:szCs w:val="18"/>
        </w:rPr>
      </w:pPr>
    </w:p>
    <w:p w:rsidR="0073463E" w:rsidRPr="006042D6" w:rsidRDefault="0073463E" w:rsidP="00FE0B22">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73463E" w:rsidRDefault="0073463E"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F3051C">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A36E6E">
      <w:headerReference w:type="default" r:id="rId8"/>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FB9" w:rsidRDefault="00EC2FB9" w:rsidP="0043787D">
      <w:r>
        <w:separator/>
      </w:r>
    </w:p>
  </w:endnote>
  <w:endnote w:type="continuationSeparator" w:id="0">
    <w:p w:rsidR="00EC2FB9" w:rsidRDefault="00EC2FB9"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FB9" w:rsidRDefault="00EC2FB9" w:rsidP="0043787D">
      <w:r>
        <w:separator/>
      </w:r>
    </w:p>
  </w:footnote>
  <w:footnote w:type="continuationSeparator" w:id="0">
    <w:p w:rsidR="00EC2FB9" w:rsidRDefault="00EC2FB9"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7D" w:rsidRDefault="00F952AC" w:rsidP="00F952AC">
    <w:pPr>
      <w:pStyle w:val="Encabezado"/>
      <w:jc w:val="center"/>
      <w:rPr>
        <w:noProof/>
        <w:lang w:val="es-BO" w:eastAsia="es-BO"/>
      </w:rPr>
    </w:pPr>
    <w:r>
      <w:rPr>
        <w:noProof/>
        <w:lang w:val="es-BO" w:eastAsia="es-BO"/>
      </w:rPr>
      <w:drawing>
        <wp:inline distT="0" distB="0" distL="0" distR="0" wp14:anchorId="4AB6FBD6" wp14:editId="68E8266B">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F952AC" w:rsidRDefault="00F952AC" w:rsidP="00F952AC">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9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E522D44"/>
    <w:multiLevelType w:val="hybridMultilevel"/>
    <w:tmpl w:val="65362C58"/>
    <w:lvl w:ilvl="0" w:tplc="98E404E8">
      <w:start w:val="1"/>
      <w:numFmt w:val="bullet"/>
      <w:lvlText w:val="-"/>
      <w:lvlJc w:val="left"/>
      <w:pPr>
        <w:ind w:left="2138"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4"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6"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19"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0"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2"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4"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7"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2"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3"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4"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5"/>
  </w:num>
  <w:num w:numId="3">
    <w:abstractNumId w:val="18"/>
  </w:num>
  <w:num w:numId="4">
    <w:abstractNumId w:val="30"/>
  </w:num>
  <w:num w:numId="5">
    <w:abstractNumId w:val="0"/>
  </w:num>
  <w:num w:numId="6">
    <w:abstractNumId w:val="33"/>
  </w:num>
  <w:num w:numId="7">
    <w:abstractNumId w:val="7"/>
  </w:num>
  <w:num w:numId="8">
    <w:abstractNumId w:val="1"/>
  </w:num>
  <w:num w:numId="9">
    <w:abstractNumId w:val="14"/>
  </w:num>
  <w:num w:numId="10">
    <w:abstractNumId w:val="22"/>
  </w:num>
  <w:num w:numId="11">
    <w:abstractNumId w:val="9"/>
  </w:num>
  <w:num w:numId="12">
    <w:abstractNumId w:val="34"/>
  </w:num>
  <w:num w:numId="13">
    <w:abstractNumId w:val="16"/>
  </w:num>
  <w:num w:numId="14">
    <w:abstractNumId w:val="8"/>
  </w:num>
  <w:num w:numId="15">
    <w:abstractNumId w:val="24"/>
  </w:num>
  <w:num w:numId="16">
    <w:abstractNumId w:val="6"/>
  </w:num>
  <w:num w:numId="17">
    <w:abstractNumId w:val="17"/>
  </w:num>
  <w:num w:numId="18">
    <w:abstractNumId w:val="12"/>
  </w:num>
  <w:num w:numId="19">
    <w:abstractNumId w:val="31"/>
  </w:num>
  <w:num w:numId="20">
    <w:abstractNumId w:val="26"/>
  </w:num>
  <w:num w:numId="21">
    <w:abstractNumId w:val="21"/>
  </w:num>
  <w:num w:numId="22">
    <w:abstractNumId w:val="4"/>
  </w:num>
  <w:num w:numId="23">
    <w:abstractNumId w:val="27"/>
  </w:num>
  <w:num w:numId="24">
    <w:abstractNumId w:val="25"/>
  </w:num>
  <w:num w:numId="25">
    <w:abstractNumId w:val="13"/>
  </w:num>
  <w:num w:numId="26">
    <w:abstractNumId w:val="32"/>
  </w:num>
  <w:num w:numId="27">
    <w:abstractNumId w:val="10"/>
  </w:num>
  <w:num w:numId="28">
    <w:abstractNumId w:val="5"/>
  </w:num>
  <w:num w:numId="29">
    <w:abstractNumId w:val="19"/>
  </w:num>
  <w:num w:numId="30">
    <w:abstractNumId w:val="23"/>
  </w:num>
  <w:num w:numId="31">
    <w:abstractNumId w:val="11"/>
  </w:num>
  <w:num w:numId="32">
    <w:abstractNumId w:val="3"/>
  </w:num>
  <w:num w:numId="33">
    <w:abstractNumId w:val="29"/>
  </w:num>
  <w:num w:numId="34">
    <w:abstractNumId w:val="28"/>
  </w:num>
  <w:num w:numId="35">
    <w:abstractNumId w:val="20"/>
  </w:num>
  <w:num w:numId="3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014E9"/>
    <w:rsid w:val="00022196"/>
    <w:rsid w:val="00023896"/>
    <w:rsid w:val="00026E75"/>
    <w:rsid w:val="000337FB"/>
    <w:rsid w:val="000460FB"/>
    <w:rsid w:val="0005083D"/>
    <w:rsid w:val="000600A4"/>
    <w:rsid w:val="00062E8A"/>
    <w:rsid w:val="0006667F"/>
    <w:rsid w:val="00072730"/>
    <w:rsid w:val="000757E5"/>
    <w:rsid w:val="00081EA5"/>
    <w:rsid w:val="00082A79"/>
    <w:rsid w:val="000869EA"/>
    <w:rsid w:val="000B38A9"/>
    <w:rsid w:val="000C1447"/>
    <w:rsid w:val="000C69B7"/>
    <w:rsid w:val="000E2D12"/>
    <w:rsid w:val="000F3329"/>
    <w:rsid w:val="00103F14"/>
    <w:rsid w:val="00107170"/>
    <w:rsid w:val="00107C49"/>
    <w:rsid w:val="001261CB"/>
    <w:rsid w:val="0014113F"/>
    <w:rsid w:val="001629F8"/>
    <w:rsid w:val="00170141"/>
    <w:rsid w:val="00176033"/>
    <w:rsid w:val="00196CB1"/>
    <w:rsid w:val="001A6109"/>
    <w:rsid w:val="001B6F67"/>
    <w:rsid w:val="001C4648"/>
    <w:rsid w:val="001C4969"/>
    <w:rsid w:val="001C7BF1"/>
    <w:rsid w:val="001D3E0C"/>
    <w:rsid w:val="001E2265"/>
    <w:rsid w:val="001E790A"/>
    <w:rsid w:val="001F3409"/>
    <w:rsid w:val="00210FE4"/>
    <w:rsid w:val="00220841"/>
    <w:rsid w:val="00222E34"/>
    <w:rsid w:val="002356E6"/>
    <w:rsid w:val="002429B6"/>
    <w:rsid w:val="00254418"/>
    <w:rsid w:val="00272241"/>
    <w:rsid w:val="00274F7E"/>
    <w:rsid w:val="0028585C"/>
    <w:rsid w:val="00296827"/>
    <w:rsid w:val="002A34A7"/>
    <w:rsid w:val="002C21ED"/>
    <w:rsid w:val="002C29C4"/>
    <w:rsid w:val="002C5108"/>
    <w:rsid w:val="002D0A43"/>
    <w:rsid w:val="002D4467"/>
    <w:rsid w:val="002D7CA7"/>
    <w:rsid w:val="002F2C5C"/>
    <w:rsid w:val="002F30ED"/>
    <w:rsid w:val="002F39AA"/>
    <w:rsid w:val="002F449C"/>
    <w:rsid w:val="002F636E"/>
    <w:rsid w:val="00300699"/>
    <w:rsid w:val="00300C82"/>
    <w:rsid w:val="00301837"/>
    <w:rsid w:val="00337CEA"/>
    <w:rsid w:val="00346296"/>
    <w:rsid w:val="00375B6B"/>
    <w:rsid w:val="00376E5F"/>
    <w:rsid w:val="0038578A"/>
    <w:rsid w:val="00397A72"/>
    <w:rsid w:val="003A0F57"/>
    <w:rsid w:val="003B0125"/>
    <w:rsid w:val="003E2B48"/>
    <w:rsid w:val="003E4B25"/>
    <w:rsid w:val="003E693E"/>
    <w:rsid w:val="00417EB3"/>
    <w:rsid w:val="0043787D"/>
    <w:rsid w:val="00456D27"/>
    <w:rsid w:val="00462B3F"/>
    <w:rsid w:val="004758E6"/>
    <w:rsid w:val="004B7F65"/>
    <w:rsid w:val="004C4303"/>
    <w:rsid w:val="004E2C8D"/>
    <w:rsid w:val="004F3275"/>
    <w:rsid w:val="00515BDD"/>
    <w:rsid w:val="0052429E"/>
    <w:rsid w:val="005317D3"/>
    <w:rsid w:val="00537AB5"/>
    <w:rsid w:val="0054345D"/>
    <w:rsid w:val="00552F97"/>
    <w:rsid w:val="0056431E"/>
    <w:rsid w:val="00565936"/>
    <w:rsid w:val="005669DB"/>
    <w:rsid w:val="00574C58"/>
    <w:rsid w:val="00592CD6"/>
    <w:rsid w:val="005A3944"/>
    <w:rsid w:val="005A6173"/>
    <w:rsid w:val="005B25F4"/>
    <w:rsid w:val="005B28D1"/>
    <w:rsid w:val="005B7777"/>
    <w:rsid w:val="005E1E1E"/>
    <w:rsid w:val="005E2F5E"/>
    <w:rsid w:val="006042D6"/>
    <w:rsid w:val="00622691"/>
    <w:rsid w:val="006249D8"/>
    <w:rsid w:val="00624DC5"/>
    <w:rsid w:val="00627072"/>
    <w:rsid w:val="00634452"/>
    <w:rsid w:val="00635A18"/>
    <w:rsid w:val="00643747"/>
    <w:rsid w:val="00643BD2"/>
    <w:rsid w:val="00645B79"/>
    <w:rsid w:val="00656AD2"/>
    <w:rsid w:val="006837DC"/>
    <w:rsid w:val="006A2AA0"/>
    <w:rsid w:val="006A395C"/>
    <w:rsid w:val="006A46A1"/>
    <w:rsid w:val="006D4A58"/>
    <w:rsid w:val="00703EA0"/>
    <w:rsid w:val="007147AB"/>
    <w:rsid w:val="00717B95"/>
    <w:rsid w:val="0072737E"/>
    <w:rsid w:val="0073463E"/>
    <w:rsid w:val="00736CF1"/>
    <w:rsid w:val="00743565"/>
    <w:rsid w:val="00744C0D"/>
    <w:rsid w:val="007564B9"/>
    <w:rsid w:val="00763D65"/>
    <w:rsid w:val="0078541E"/>
    <w:rsid w:val="00795A7B"/>
    <w:rsid w:val="007A299F"/>
    <w:rsid w:val="007B54DF"/>
    <w:rsid w:val="007C0038"/>
    <w:rsid w:val="007E6C04"/>
    <w:rsid w:val="007E7679"/>
    <w:rsid w:val="008018B7"/>
    <w:rsid w:val="0080196A"/>
    <w:rsid w:val="00805F23"/>
    <w:rsid w:val="00810DE0"/>
    <w:rsid w:val="00810F1C"/>
    <w:rsid w:val="0082256B"/>
    <w:rsid w:val="0083047E"/>
    <w:rsid w:val="008334AE"/>
    <w:rsid w:val="008342ED"/>
    <w:rsid w:val="00865471"/>
    <w:rsid w:val="008810B7"/>
    <w:rsid w:val="0088727F"/>
    <w:rsid w:val="00887C84"/>
    <w:rsid w:val="008A7246"/>
    <w:rsid w:val="008B4DA1"/>
    <w:rsid w:val="008C20D6"/>
    <w:rsid w:val="008F7706"/>
    <w:rsid w:val="009076CE"/>
    <w:rsid w:val="009079DC"/>
    <w:rsid w:val="00913BCC"/>
    <w:rsid w:val="0091411F"/>
    <w:rsid w:val="009238D4"/>
    <w:rsid w:val="0093411F"/>
    <w:rsid w:val="009508C4"/>
    <w:rsid w:val="00971FFF"/>
    <w:rsid w:val="00974209"/>
    <w:rsid w:val="00997FC2"/>
    <w:rsid w:val="009A0986"/>
    <w:rsid w:val="009A1225"/>
    <w:rsid w:val="009C6922"/>
    <w:rsid w:val="009E2705"/>
    <w:rsid w:val="00A021D0"/>
    <w:rsid w:val="00A05203"/>
    <w:rsid w:val="00A23406"/>
    <w:rsid w:val="00A36E6E"/>
    <w:rsid w:val="00A37126"/>
    <w:rsid w:val="00A427AD"/>
    <w:rsid w:val="00A511F7"/>
    <w:rsid w:val="00A54B87"/>
    <w:rsid w:val="00A6214D"/>
    <w:rsid w:val="00A64B31"/>
    <w:rsid w:val="00A77A5C"/>
    <w:rsid w:val="00A828F7"/>
    <w:rsid w:val="00A83264"/>
    <w:rsid w:val="00AB61FD"/>
    <w:rsid w:val="00AD17A7"/>
    <w:rsid w:val="00AE5654"/>
    <w:rsid w:val="00B0167E"/>
    <w:rsid w:val="00B57218"/>
    <w:rsid w:val="00B737C7"/>
    <w:rsid w:val="00B76231"/>
    <w:rsid w:val="00B77010"/>
    <w:rsid w:val="00B81986"/>
    <w:rsid w:val="00B84BB6"/>
    <w:rsid w:val="00B9522B"/>
    <w:rsid w:val="00BC2A6C"/>
    <w:rsid w:val="00BD1A12"/>
    <w:rsid w:val="00BF0E2E"/>
    <w:rsid w:val="00BF3BA2"/>
    <w:rsid w:val="00C01ADB"/>
    <w:rsid w:val="00C04426"/>
    <w:rsid w:val="00C45D57"/>
    <w:rsid w:val="00C45EED"/>
    <w:rsid w:val="00C47794"/>
    <w:rsid w:val="00C609FA"/>
    <w:rsid w:val="00C650B8"/>
    <w:rsid w:val="00C80466"/>
    <w:rsid w:val="00CA527A"/>
    <w:rsid w:val="00CB2A9E"/>
    <w:rsid w:val="00CC5FF0"/>
    <w:rsid w:val="00CC7B75"/>
    <w:rsid w:val="00CD606A"/>
    <w:rsid w:val="00CD6848"/>
    <w:rsid w:val="00CE0BC9"/>
    <w:rsid w:val="00D028ED"/>
    <w:rsid w:val="00D11C80"/>
    <w:rsid w:val="00D127C6"/>
    <w:rsid w:val="00D12E38"/>
    <w:rsid w:val="00D131A2"/>
    <w:rsid w:val="00D244CE"/>
    <w:rsid w:val="00D6012E"/>
    <w:rsid w:val="00D6172F"/>
    <w:rsid w:val="00D70674"/>
    <w:rsid w:val="00D70A61"/>
    <w:rsid w:val="00D71746"/>
    <w:rsid w:val="00D95792"/>
    <w:rsid w:val="00DA51AB"/>
    <w:rsid w:val="00DA705D"/>
    <w:rsid w:val="00DB6244"/>
    <w:rsid w:val="00DC7112"/>
    <w:rsid w:val="00DD2277"/>
    <w:rsid w:val="00DE0265"/>
    <w:rsid w:val="00DE22C5"/>
    <w:rsid w:val="00DE318A"/>
    <w:rsid w:val="00E10C01"/>
    <w:rsid w:val="00E351CF"/>
    <w:rsid w:val="00E467A4"/>
    <w:rsid w:val="00E526FF"/>
    <w:rsid w:val="00E7501B"/>
    <w:rsid w:val="00E82392"/>
    <w:rsid w:val="00E96E37"/>
    <w:rsid w:val="00EA51D7"/>
    <w:rsid w:val="00EB0F74"/>
    <w:rsid w:val="00EB17F4"/>
    <w:rsid w:val="00EB2220"/>
    <w:rsid w:val="00EB53FA"/>
    <w:rsid w:val="00EB595B"/>
    <w:rsid w:val="00EC2F2F"/>
    <w:rsid w:val="00EC2FB9"/>
    <w:rsid w:val="00EE6B9D"/>
    <w:rsid w:val="00EF30C9"/>
    <w:rsid w:val="00F01E5B"/>
    <w:rsid w:val="00F0226F"/>
    <w:rsid w:val="00F11361"/>
    <w:rsid w:val="00F125A9"/>
    <w:rsid w:val="00F13047"/>
    <w:rsid w:val="00F3051C"/>
    <w:rsid w:val="00F37685"/>
    <w:rsid w:val="00F41F4D"/>
    <w:rsid w:val="00F443CC"/>
    <w:rsid w:val="00F51E39"/>
    <w:rsid w:val="00F91435"/>
    <w:rsid w:val="00F92650"/>
    <w:rsid w:val="00F93CB2"/>
    <w:rsid w:val="00F952AC"/>
    <w:rsid w:val="00FA5B44"/>
    <w:rsid w:val="00FB132C"/>
    <w:rsid w:val="00FB52D4"/>
    <w:rsid w:val="00FD1B1F"/>
    <w:rsid w:val="00FD75D7"/>
    <w:rsid w:val="00FD794F"/>
    <w:rsid w:val="00FE0B22"/>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985091-2517-4F3A-A92F-0AD88471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887957257">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 w:id="20014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970C9-5FE7-40DE-B228-DC167D9C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6</cp:revision>
  <cp:lastPrinted>2014-05-26T14:00:00Z</cp:lastPrinted>
  <dcterms:created xsi:type="dcterms:W3CDTF">2020-01-07T16:35:00Z</dcterms:created>
  <dcterms:modified xsi:type="dcterms:W3CDTF">2020-01-07T23:59:00Z</dcterms:modified>
  <cp:category>Modelos</cp:category>
  <cp:contentStatus>Vidente 2011</cp:contentStatus>
</cp:coreProperties>
</file>