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A024CE" w:rsidRDefault="009508C4" w:rsidP="00515BDD">
      <w:pPr>
        <w:jc w:val="center"/>
        <w:rPr>
          <w:rFonts w:ascii="Century Gothic" w:hAnsi="Century Gothic" w:cs="Tahoma"/>
          <w:b/>
          <w:sz w:val="18"/>
          <w:szCs w:val="18"/>
        </w:rPr>
      </w:pPr>
      <w:r w:rsidRPr="00A024CE">
        <w:rPr>
          <w:rFonts w:ascii="Century Gothic" w:hAnsi="Century Gothic" w:cs="Tahoma"/>
          <w:b/>
          <w:sz w:val="18"/>
          <w:szCs w:val="18"/>
        </w:rPr>
        <w:t>SERVICIO DE CONSULTORIA INDIVIDUAL DE LINEA</w:t>
      </w:r>
      <w:r w:rsidR="001307AF">
        <w:rPr>
          <w:rFonts w:ascii="Century Gothic" w:hAnsi="Century Gothic" w:cs="Tahoma"/>
          <w:b/>
          <w:sz w:val="18"/>
          <w:szCs w:val="18"/>
        </w:rPr>
        <w:t>-ADMINISTRATIVO II-</w:t>
      </w:r>
    </w:p>
    <w:p w:rsidR="00B9522B" w:rsidRPr="00155B24" w:rsidRDefault="0052429E" w:rsidP="0052429E">
      <w:pPr>
        <w:jc w:val="center"/>
        <w:rPr>
          <w:rFonts w:ascii="Century Gothic" w:hAnsi="Century Gothic" w:cs="Calibri"/>
          <w:b/>
          <w:color w:val="000000"/>
          <w:sz w:val="18"/>
          <w:szCs w:val="18"/>
        </w:rPr>
      </w:pPr>
      <w:r>
        <w:rPr>
          <w:rFonts w:ascii="Century Gothic" w:hAnsi="Century Gothic" w:cs="Calibri"/>
          <w:b/>
          <w:color w:val="000000"/>
          <w:sz w:val="18"/>
          <w:szCs w:val="18"/>
        </w:rPr>
        <w:t>TÉCNICO</w:t>
      </w:r>
      <w:r w:rsidR="009831BF">
        <w:rPr>
          <w:rFonts w:ascii="Century Gothic" w:hAnsi="Century Gothic" w:cs="Calibri"/>
          <w:b/>
          <w:color w:val="000000"/>
          <w:sz w:val="18"/>
          <w:szCs w:val="18"/>
        </w:rPr>
        <w:t xml:space="preserve"> DE SOPORTE</w:t>
      </w:r>
    </w:p>
    <w:p w:rsidR="00210FE4" w:rsidRPr="006042D6" w:rsidRDefault="00210FE4" w:rsidP="00515BDD">
      <w:pPr>
        <w:ind w:left="360"/>
        <w:jc w:val="both"/>
        <w:rPr>
          <w:rFonts w:ascii="Century Gothic" w:hAnsi="Century Gothic" w:cs="Tahoma"/>
          <w:b/>
          <w:color w:val="C0504D"/>
          <w:sz w:val="18"/>
          <w:szCs w:val="18"/>
        </w:rPr>
      </w:pP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F62719" w:rsidRDefault="00537AB5" w:rsidP="00F62719">
      <w:pPr>
        <w:jc w:val="both"/>
        <w:rPr>
          <w:rFonts w:ascii="Century Gothic" w:hAnsi="Century Gothic" w:cs="Calibri"/>
          <w:color w:val="000000"/>
          <w:sz w:val="18"/>
          <w:szCs w:val="18"/>
        </w:rPr>
      </w:pPr>
      <w:r w:rsidRPr="00F62719">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9831BF" w:rsidP="007E6C04">
      <w:pPr>
        <w:jc w:val="both"/>
        <w:rPr>
          <w:rFonts w:ascii="Century Gothic" w:hAnsi="Century Gothic" w:cs="Calibri"/>
          <w:color w:val="000000"/>
          <w:sz w:val="18"/>
          <w:szCs w:val="18"/>
        </w:rPr>
      </w:pPr>
      <w:r>
        <w:rPr>
          <w:rFonts w:ascii="Century Gothic" w:hAnsi="Century Gothic" w:cs="Calibri"/>
          <w:color w:val="000000"/>
          <w:sz w:val="18"/>
          <w:szCs w:val="18"/>
        </w:rPr>
        <w:t>El personal de Soporte, garantiza el adecuado funcionamiento de los equipos antes, durante y después del proceso de empadronamiento, coadyuvando el desempeño de funciones de Notarios Electorales Operadores.</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9831BF" w:rsidP="007E6C04">
      <w:pPr>
        <w:jc w:val="both"/>
        <w:rPr>
          <w:rFonts w:ascii="Century Gothic" w:hAnsi="Century Gothic" w:cs="Calibri"/>
          <w:color w:val="000000"/>
          <w:sz w:val="18"/>
          <w:szCs w:val="18"/>
        </w:rPr>
      </w:pPr>
      <w:r>
        <w:rPr>
          <w:rFonts w:ascii="Century Gothic" w:hAnsi="Century Gothic" w:cs="Calibri"/>
          <w:color w:val="000000"/>
          <w:sz w:val="18"/>
          <w:szCs w:val="18"/>
        </w:rPr>
        <w:t>Notarios Electorales Operadores capacitados, equipos en correcto funcionamiento durante todo el proceso de empadronamiento</w:t>
      </w:r>
      <w:r w:rsidR="00F3051C">
        <w:rPr>
          <w:rFonts w:ascii="Century Gothic" w:hAnsi="Century Gothic" w:cs="Calibri"/>
          <w:color w:val="000000"/>
          <w:sz w:val="18"/>
          <w:szCs w:val="18"/>
        </w:rPr>
        <w:t>.</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537AB5" w:rsidRDefault="00537AB5" w:rsidP="0052429E">
      <w:pPr>
        <w:pStyle w:val="Sinespaciado"/>
        <w:jc w:val="both"/>
        <w:rPr>
          <w:rFonts w:ascii="Century Gothic" w:hAnsi="Century Gothic" w:cs="Tahoma"/>
          <w:color w:val="FF0000"/>
          <w:sz w:val="18"/>
          <w:szCs w:val="18"/>
          <w:lang w:eastAsia="es-ES"/>
        </w:rPr>
      </w:pPr>
    </w:p>
    <w:p w:rsidR="007E6C04" w:rsidRDefault="007E6C04" w:rsidP="007E6C04">
      <w:pPr>
        <w:ind w:left="142"/>
        <w:jc w:val="both"/>
        <w:rPr>
          <w:rFonts w:ascii="Century Gothic" w:hAnsi="Century Gothic" w:cs="Calibri"/>
          <w:color w:val="000000"/>
          <w:sz w:val="18"/>
          <w:szCs w:val="18"/>
        </w:rPr>
      </w:pPr>
      <w:r w:rsidRPr="009831BF">
        <w:rPr>
          <w:rFonts w:ascii="Century Gothic" w:hAnsi="Century Gothic" w:cs="Calibri"/>
          <w:color w:val="000000"/>
          <w:sz w:val="18"/>
          <w:szCs w:val="18"/>
        </w:rPr>
        <w:t xml:space="preserve">Las funciones a desempeñar por los </w:t>
      </w:r>
      <w:r w:rsidR="0052429E" w:rsidRPr="009831BF">
        <w:rPr>
          <w:rFonts w:ascii="Century Gothic" w:hAnsi="Century Gothic" w:cs="Calibri"/>
          <w:color w:val="000000"/>
          <w:sz w:val="18"/>
          <w:szCs w:val="18"/>
        </w:rPr>
        <w:t>Técnicos de Logística</w:t>
      </w:r>
      <w:r w:rsidRPr="009831BF">
        <w:rPr>
          <w:rFonts w:ascii="Century Gothic" w:hAnsi="Century Gothic" w:cs="Calibri"/>
          <w:color w:val="000000"/>
          <w:sz w:val="18"/>
          <w:szCs w:val="18"/>
        </w:rPr>
        <w:t xml:space="preserve"> durante la etapa de empadronamiento serán las siguientes:</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Apoyar en tareas administrativas</w:t>
      </w:r>
    </w:p>
    <w:p w:rsidR="009831BF" w:rsidRPr="009831BF" w:rsidRDefault="003C0961" w:rsidP="009831BF">
      <w:pPr>
        <w:pStyle w:val="Prrafodelista"/>
        <w:jc w:val="both"/>
        <w:rPr>
          <w:rFonts w:ascii="Century Gothic" w:hAnsi="Century Gothic" w:cs="Arial"/>
          <w:sz w:val="18"/>
          <w:szCs w:val="18"/>
        </w:rPr>
      </w:pPr>
      <w:r>
        <w:rPr>
          <w:rFonts w:ascii="Century Gothic" w:hAnsi="Century Gothic" w:cs="Arial"/>
          <w:sz w:val="18"/>
          <w:szCs w:val="18"/>
        </w:rPr>
        <w:t>Apoyo en la elaboración de actas, informes, reportes o formularios referidos a la entrega o recepción de equipos en las diferentes etapas</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Prestar apoyo en trabajos técnicos</w:t>
      </w:r>
    </w:p>
    <w:p w:rsidR="009831BF" w:rsidRPr="009831BF" w:rsidRDefault="009831BF" w:rsidP="009831BF">
      <w:pPr>
        <w:pStyle w:val="Prrafodelista"/>
        <w:jc w:val="both"/>
        <w:rPr>
          <w:rFonts w:ascii="Century Gothic" w:hAnsi="Century Gothic" w:cs="Arial"/>
          <w:sz w:val="18"/>
          <w:szCs w:val="18"/>
        </w:rPr>
      </w:pPr>
      <w:r w:rsidRPr="009831BF">
        <w:rPr>
          <w:rFonts w:ascii="Century Gothic" w:hAnsi="Century Gothic" w:cs="Arial"/>
          <w:sz w:val="18"/>
          <w:szCs w:val="18"/>
        </w:rPr>
        <w:t>Soporte Técnico a Notarios/as de empadronamiento en cuanto a fallas y desperfectos reportados.</w:t>
      </w:r>
    </w:p>
    <w:p w:rsidR="009831BF" w:rsidRPr="009831BF" w:rsidRDefault="009831BF" w:rsidP="009831BF">
      <w:pPr>
        <w:pStyle w:val="Prrafodelista"/>
        <w:jc w:val="both"/>
        <w:rPr>
          <w:rFonts w:ascii="Century Gothic" w:hAnsi="Century Gothic" w:cs="Arial"/>
          <w:sz w:val="18"/>
          <w:szCs w:val="18"/>
        </w:rPr>
      </w:pPr>
      <w:r w:rsidRPr="009831BF">
        <w:rPr>
          <w:rFonts w:ascii="Century Gothic" w:hAnsi="Century Gothic" w:cs="Arial"/>
          <w:sz w:val="18"/>
          <w:szCs w:val="18"/>
        </w:rPr>
        <w:t>Capacitación a Notarios/as en la operación y características del sistema de empadronamiento biométrico, el equipamiento y periféricos adjuntos.</w:t>
      </w:r>
    </w:p>
    <w:p w:rsidR="009831BF" w:rsidRPr="009831BF" w:rsidRDefault="009831BF" w:rsidP="009831BF">
      <w:pPr>
        <w:pStyle w:val="Prrafodelista"/>
        <w:jc w:val="both"/>
        <w:rPr>
          <w:rFonts w:ascii="Century Gothic" w:hAnsi="Century Gothic" w:cs="Arial"/>
          <w:sz w:val="18"/>
          <w:szCs w:val="18"/>
        </w:rPr>
      </w:pPr>
      <w:r w:rsidRPr="009831BF">
        <w:rPr>
          <w:rFonts w:ascii="Century Gothic" w:hAnsi="Century Gothic" w:cs="Arial"/>
          <w:sz w:val="18"/>
          <w:szCs w:val="18"/>
        </w:rPr>
        <w:t>Configuración y actualización de equipos de empadronamiento biométrico y otros equipos.</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Coadyuvar en la elaboración de informes</w:t>
      </w:r>
    </w:p>
    <w:p w:rsidR="009831BF" w:rsidRPr="009831BF" w:rsidRDefault="009831BF" w:rsidP="009831BF">
      <w:pPr>
        <w:pStyle w:val="Prrafodelista"/>
        <w:jc w:val="both"/>
        <w:rPr>
          <w:rFonts w:ascii="Century Gothic" w:hAnsi="Century Gothic" w:cs="Arial"/>
          <w:sz w:val="18"/>
          <w:szCs w:val="18"/>
        </w:rPr>
      </w:pPr>
      <w:r w:rsidRPr="009831BF">
        <w:rPr>
          <w:rFonts w:ascii="Century Gothic" w:hAnsi="Century Gothic" w:cs="Arial"/>
          <w:sz w:val="18"/>
          <w:szCs w:val="18"/>
        </w:rPr>
        <w:t>Seguimiento y monitoreo del adecuado uso y buen funcionamiento de todos los equipo</w:t>
      </w:r>
      <w:r>
        <w:rPr>
          <w:rFonts w:ascii="Century Gothic" w:hAnsi="Century Gothic" w:cs="Arial"/>
          <w:sz w:val="18"/>
          <w:szCs w:val="18"/>
        </w:rPr>
        <w:t>s de empadronamiento instalados</w:t>
      </w:r>
      <w:r w:rsidRPr="009831BF">
        <w:rPr>
          <w:rFonts w:ascii="Century Gothic" w:hAnsi="Century Gothic" w:cs="Arial"/>
          <w:sz w:val="18"/>
          <w:szCs w:val="18"/>
        </w:rPr>
        <w:t>.</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Procesar documentos e información</w:t>
      </w:r>
    </w:p>
    <w:p w:rsidR="009831BF" w:rsidRPr="00C82AE8" w:rsidRDefault="003C0961" w:rsidP="009831BF">
      <w:pPr>
        <w:pStyle w:val="Prrafodelista"/>
        <w:ind w:left="709"/>
        <w:jc w:val="both"/>
        <w:rPr>
          <w:rFonts w:ascii="Century Gothic" w:hAnsi="Century Gothic" w:cs="Arial"/>
          <w:sz w:val="18"/>
          <w:szCs w:val="18"/>
        </w:rPr>
      </w:pPr>
      <w:r>
        <w:rPr>
          <w:rFonts w:ascii="Century Gothic" w:hAnsi="Century Gothic" w:cs="Arial"/>
          <w:sz w:val="18"/>
          <w:szCs w:val="18"/>
        </w:rPr>
        <w:t>Emisión de información estadística del funcionamiento de equipos, incidentes y otros durante el proceso de empadronamiento.</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Realizar tareas de verificación, transcripción, digitalización y otros de naturaleza similares</w:t>
      </w:r>
    </w:p>
    <w:p w:rsidR="009831BF" w:rsidRPr="00C82AE8" w:rsidRDefault="003C0961" w:rsidP="009831BF">
      <w:pPr>
        <w:pStyle w:val="Sinespaciado"/>
        <w:ind w:left="709"/>
        <w:jc w:val="both"/>
        <w:rPr>
          <w:rFonts w:ascii="Century Gothic" w:hAnsi="Century Gothic" w:cs="Tahoma"/>
          <w:color w:val="000000"/>
          <w:sz w:val="18"/>
          <w:szCs w:val="18"/>
          <w:lang w:eastAsia="es-ES"/>
        </w:rPr>
      </w:pPr>
      <w:r>
        <w:rPr>
          <w:rFonts w:ascii="Century Gothic" w:hAnsi="Century Gothic" w:cs="Tahoma"/>
          <w:color w:val="000000"/>
          <w:sz w:val="18"/>
          <w:szCs w:val="18"/>
          <w:lang w:eastAsia="es-ES"/>
        </w:rPr>
        <w:t>Verificar el funcionamiento y actualización de bases de datos y programas de equipos de empadronamiento de manera previa a su entrega, durante el desarrollo del empadronamiento y al cierre</w:t>
      </w:r>
      <w:r w:rsidR="009831BF" w:rsidRPr="00C82AE8">
        <w:rPr>
          <w:rFonts w:ascii="Century Gothic" w:hAnsi="Century Gothic" w:cs="Tahoma"/>
          <w:color w:val="000000"/>
          <w:sz w:val="18"/>
          <w:szCs w:val="18"/>
          <w:lang w:eastAsia="es-ES"/>
        </w:rPr>
        <w:t>.</w:t>
      </w:r>
    </w:p>
    <w:p w:rsidR="009831BF" w:rsidRPr="00C82AE8" w:rsidRDefault="009831BF" w:rsidP="009831BF">
      <w:pPr>
        <w:pStyle w:val="Sinespaciado"/>
        <w:numPr>
          <w:ilvl w:val="0"/>
          <w:numId w:val="35"/>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O</w:t>
      </w:r>
      <w:r w:rsidRPr="00C82AE8">
        <w:rPr>
          <w:rFonts w:ascii="Century Gothic" w:hAnsi="Century Gothic" w:cs="Tahoma"/>
          <w:color w:val="FF0000"/>
          <w:sz w:val="18"/>
          <w:szCs w:val="18"/>
          <w:lang w:eastAsia="es-ES"/>
        </w:rPr>
        <w:t>tras funcio</w:t>
      </w:r>
      <w:r>
        <w:rPr>
          <w:rFonts w:ascii="Century Gothic" w:hAnsi="Century Gothic" w:cs="Tahoma"/>
          <w:color w:val="FF0000"/>
          <w:sz w:val="18"/>
          <w:szCs w:val="18"/>
          <w:lang w:eastAsia="es-ES"/>
        </w:rPr>
        <w:t>nes asignadas por el supervisor</w:t>
      </w:r>
    </w:p>
    <w:p w:rsidR="009831BF" w:rsidRPr="00C82AE8" w:rsidRDefault="009831BF" w:rsidP="009831BF">
      <w:pPr>
        <w:pStyle w:val="Sinespaciado"/>
        <w:ind w:left="709"/>
        <w:jc w:val="both"/>
        <w:rPr>
          <w:rFonts w:ascii="Century Gothic" w:hAnsi="Century Gothic" w:cs="Tahoma"/>
          <w:color w:val="FF0000"/>
          <w:sz w:val="18"/>
          <w:szCs w:val="18"/>
          <w:lang w:eastAsia="es-ES"/>
        </w:rPr>
      </w:pPr>
      <w:r w:rsidRPr="00C82AE8">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4E0122" w:rsidRPr="009831BF" w:rsidRDefault="00486F9A" w:rsidP="00C65B3E">
      <w:pPr>
        <w:pStyle w:val="Prrafodelista"/>
        <w:ind w:left="709"/>
        <w:jc w:val="both"/>
        <w:rPr>
          <w:rFonts w:ascii="Century Gothic" w:hAnsi="Century Gothic" w:cs="Arial"/>
          <w:sz w:val="18"/>
          <w:szCs w:val="18"/>
        </w:rPr>
      </w:pPr>
      <w:r w:rsidRPr="009831BF">
        <w:rPr>
          <w:rFonts w:ascii="Century Gothic" w:hAnsi="Century Gothic" w:cs="Arial"/>
          <w:sz w:val="18"/>
          <w:szCs w:val="18"/>
        </w:rPr>
        <w:t>Emisión de Informes de resultados e informes estadísticos a autoridad competente.</w:t>
      </w:r>
    </w:p>
    <w:p w:rsidR="0080196A" w:rsidRPr="00486F9A"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865471" w:rsidRDefault="00865471" w:rsidP="00865471">
      <w:pPr>
        <w:jc w:val="both"/>
        <w:rPr>
          <w:rFonts w:ascii="Century Gothic" w:hAnsi="Century Gothic"/>
          <w:sz w:val="18"/>
          <w:szCs w:val="18"/>
        </w:rPr>
      </w:pPr>
      <w:r w:rsidRPr="00865471">
        <w:rPr>
          <w:rFonts w:ascii="Century Gothic" w:hAnsi="Century Gothic"/>
          <w:sz w:val="18"/>
          <w:szCs w:val="18"/>
        </w:rPr>
        <w:t>.</w:t>
      </w:r>
    </w:p>
    <w:p w:rsidR="00FE0B22" w:rsidRPr="00865471" w:rsidRDefault="00FE0B22" w:rsidP="00865471">
      <w:pPr>
        <w:jc w:val="both"/>
        <w:rPr>
          <w:rFonts w:ascii="Century Gothic" w:hAnsi="Century Gothic"/>
          <w:sz w:val="18"/>
          <w:szCs w:val="18"/>
        </w:rPr>
      </w:pPr>
    </w:p>
    <w:p w:rsidR="0080196A" w:rsidRDefault="0080196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3C0961">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1307AF">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C65B3E" w:rsidRPr="00FF09D2" w:rsidRDefault="00C65B3E" w:rsidP="00C65B3E">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p w:rsidR="00376E5F" w:rsidRDefault="00C65B3E" w:rsidP="00C65B3E">
            <w:pPr>
              <w:rPr>
                <w:rFonts w:ascii="Century Gothic" w:hAnsi="Century Gothic" w:cs="Arial"/>
                <w:bCs/>
                <w:color w:val="FF0000"/>
                <w:sz w:val="18"/>
                <w:szCs w:val="18"/>
              </w:rPr>
            </w:pPr>
            <w:r w:rsidRPr="00FF09D2">
              <w:rPr>
                <w:rFonts w:ascii="Century Gothic" w:hAnsi="Century Gothic" w:cs="Arial"/>
                <w:bCs/>
                <w:sz w:val="18"/>
                <w:szCs w:val="18"/>
              </w:rPr>
              <w:lastRenderedPageBreak/>
              <w:t>Estudiante universitario</w:t>
            </w:r>
            <w:r>
              <w:rPr>
                <w:rFonts w:ascii="Century Gothic" w:hAnsi="Century Gothic" w:cs="Arial"/>
                <w:bCs/>
                <w:sz w:val="18"/>
                <w:szCs w:val="18"/>
              </w:rPr>
              <w:t xml:space="preserve"> o técnico </w:t>
            </w:r>
            <w:r w:rsidR="001307AF">
              <w:rPr>
                <w:rFonts w:ascii="Century Gothic" w:hAnsi="Century Gothic" w:cs="Arial"/>
                <w:bCs/>
                <w:sz w:val="18"/>
                <w:szCs w:val="18"/>
              </w:rPr>
              <w:t xml:space="preserve"> en el área </w:t>
            </w:r>
            <w:r>
              <w:rPr>
                <w:rFonts w:ascii="Century Gothic" w:hAnsi="Century Gothic" w:cs="Arial"/>
                <w:bCs/>
                <w:sz w:val="18"/>
                <w:szCs w:val="18"/>
              </w:rPr>
              <w:t xml:space="preserve"> informática. </w:t>
            </w:r>
            <w:r w:rsidRPr="00FF09D2">
              <w:rPr>
                <w:rFonts w:ascii="Century Gothic" w:hAnsi="Century Gothic" w:cs="Arial"/>
                <w:bCs/>
                <w:color w:val="FF0000"/>
                <w:sz w:val="18"/>
                <w:szCs w:val="18"/>
              </w:rPr>
              <w:t xml:space="preserve"> </w:t>
            </w:r>
          </w:p>
          <w:p w:rsidR="001307AF" w:rsidRPr="00FF09D2" w:rsidRDefault="001307AF" w:rsidP="00C65B3E">
            <w:pPr>
              <w:rPr>
                <w:rFonts w:ascii="Century Gothic" w:hAnsi="Century Gothic" w:cs="Arial"/>
                <w:bCs/>
                <w:color w:val="FF0000"/>
                <w:sz w:val="18"/>
                <w:szCs w:val="18"/>
              </w:rPr>
            </w:pPr>
          </w:p>
        </w:tc>
      </w:tr>
      <w:tr w:rsidR="001307AF" w:rsidRPr="00FF09D2" w:rsidTr="003C0961">
        <w:trPr>
          <w:trHeight w:val="300"/>
        </w:trPr>
        <w:tc>
          <w:tcPr>
            <w:tcW w:w="1037" w:type="pct"/>
            <w:gridSpan w:val="2"/>
            <w:tcBorders>
              <w:top w:val="nil"/>
              <w:bottom w:val="single" w:sz="8" w:space="0" w:color="000000"/>
            </w:tcBorders>
            <w:shd w:val="clear" w:color="auto" w:fill="auto"/>
          </w:tcPr>
          <w:p w:rsidR="001307AF" w:rsidRPr="00376E5F" w:rsidRDefault="001307AF" w:rsidP="001307AF">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lastRenderedPageBreak/>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1307AF" w:rsidRPr="00376E5F" w:rsidRDefault="001307AF" w:rsidP="001307AF">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1307AF" w:rsidRPr="00EB7234" w:rsidRDefault="001307AF" w:rsidP="001307AF">
            <w:pPr>
              <w:jc w:val="both"/>
              <w:rPr>
                <w:rFonts w:ascii="Century Gothic" w:hAnsi="Century Gothic" w:cs="Arial"/>
                <w:bCs/>
                <w:sz w:val="18"/>
                <w:szCs w:val="18"/>
              </w:rPr>
            </w:pPr>
          </w:p>
        </w:tc>
      </w:tr>
    </w:tbl>
    <w:p w:rsidR="005A6173" w:rsidRDefault="005A6173" w:rsidP="00515BDD">
      <w:pPr>
        <w:jc w:val="both"/>
        <w:rPr>
          <w:rFonts w:ascii="Century Gothic" w:hAnsi="Century Gothic"/>
          <w:sz w:val="18"/>
          <w:szCs w:val="18"/>
        </w:rPr>
      </w:pPr>
    </w:p>
    <w:p w:rsidR="008342ED" w:rsidRPr="006042D6" w:rsidRDefault="008342ED" w:rsidP="00515BDD">
      <w:pPr>
        <w:jc w:val="both"/>
        <w:rPr>
          <w:rFonts w:ascii="Century Gothic" w:hAnsi="Century Gothic" w:cs="Calibri"/>
          <w:b/>
          <w:bCs/>
          <w:color w:val="5F497A"/>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Pr="006042D6" w:rsidRDefault="00CC7B75" w:rsidP="001307AF">
      <w:pPr>
        <w:jc w:val="both"/>
        <w:rPr>
          <w:rFonts w:ascii="Century Gothic" w:hAnsi="Century Gothic" w:cs="Calibri"/>
          <w:b/>
          <w:bCs/>
          <w:color w:val="5F497A"/>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743565" w:rsidRPr="00622691" w:rsidRDefault="00743565" w:rsidP="00622691">
      <w:pPr>
        <w:ind w:left="1418"/>
        <w:jc w:val="both"/>
        <w:rPr>
          <w:rFonts w:ascii="Century Gothic" w:hAnsi="Century Gothic" w:cs="Calibri"/>
          <w:bCs/>
          <w:sz w:val="18"/>
          <w:szCs w:val="18"/>
        </w:rPr>
      </w:pPr>
    </w:p>
    <w:p w:rsidR="001307AF" w:rsidRPr="00973E0F" w:rsidRDefault="001307AF" w:rsidP="001307AF">
      <w:pPr>
        <w:numPr>
          <w:ilvl w:val="0"/>
          <w:numId w:val="36"/>
        </w:numPr>
        <w:jc w:val="both"/>
        <w:rPr>
          <w:rFonts w:ascii="Century Gothic" w:hAnsi="Century Gothic" w:cs="Calibri"/>
          <w:bCs/>
          <w:sz w:val="18"/>
          <w:szCs w:val="18"/>
        </w:rPr>
      </w:pPr>
      <w:r w:rsidRPr="00973E0F">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1307AF" w:rsidRPr="00973E0F" w:rsidRDefault="001307AF" w:rsidP="001307AF">
      <w:pPr>
        <w:numPr>
          <w:ilvl w:val="0"/>
          <w:numId w:val="36"/>
        </w:numPr>
        <w:jc w:val="both"/>
        <w:rPr>
          <w:rFonts w:ascii="Century Gothic" w:hAnsi="Century Gothic" w:cs="Calibri"/>
          <w:bCs/>
          <w:sz w:val="18"/>
          <w:szCs w:val="18"/>
        </w:rPr>
      </w:pPr>
      <w:r w:rsidRPr="00973E0F">
        <w:rPr>
          <w:rFonts w:ascii="Century Gothic" w:hAnsi="Century Gothic" w:cs="Calibri"/>
          <w:bCs/>
          <w:sz w:val="18"/>
          <w:szCs w:val="18"/>
        </w:rPr>
        <w:t>Certificado de estar registrado en el Padrón Electoral emitido por SERECI.</w:t>
      </w:r>
    </w:p>
    <w:p w:rsidR="001307AF" w:rsidRPr="00973E0F" w:rsidRDefault="001307AF" w:rsidP="001307AF">
      <w:pPr>
        <w:numPr>
          <w:ilvl w:val="0"/>
          <w:numId w:val="36"/>
        </w:numPr>
        <w:jc w:val="both"/>
        <w:rPr>
          <w:rFonts w:ascii="Century Gothic" w:hAnsi="Century Gothic" w:cs="Calibri"/>
          <w:bCs/>
          <w:sz w:val="18"/>
          <w:szCs w:val="18"/>
        </w:rPr>
      </w:pPr>
      <w:r w:rsidRPr="00973E0F">
        <w:rPr>
          <w:rFonts w:ascii="Century Gothic" w:hAnsi="Century Gothic" w:cs="Calibri"/>
          <w:bCs/>
          <w:sz w:val="18"/>
          <w:szCs w:val="18"/>
        </w:rPr>
        <w:t xml:space="preserve">Declaración jurada de inexistencia de parentesco con autoridades y personal del SERECI o Tribunal Electoral Departamental de </w:t>
      </w:r>
      <w:r w:rsidR="00975D66">
        <w:rPr>
          <w:rFonts w:ascii="Century Gothic" w:hAnsi="Century Gothic" w:cs="Calibri"/>
          <w:bCs/>
          <w:sz w:val="18"/>
          <w:szCs w:val="18"/>
        </w:rPr>
        <w:t>Oruro</w:t>
      </w:r>
    </w:p>
    <w:p w:rsidR="00D6172F" w:rsidRPr="00A83264" w:rsidRDefault="00D6172F" w:rsidP="00D6172F">
      <w:pPr>
        <w:autoSpaceDE w:val="0"/>
        <w:autoSpaceDN w:val="0"/>
        <w:adjustRightInd w:val="0"/>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1307AF" w:rsidRPr="00622691" w:rsidRDefault="001307AF" w:rsidP="001307AF">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1307AF" w:rsidRPr="00622691" w:rsidRDefault="001307AF" w:rsidP="001307AF">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 xml:space="preserve">Fotocopias de Títulos y Certificados de acuerdo al perfil requerido para el servicio de consultoría y los que acompañan específicamente al Formulario </w:t>
      </w:r>
      <w:r>
        <w:rPr>
          <w:rFonts w:ascii="Century Gothic" w:hAnsi="Century Gothic" w:cs="Calibri"/>
          <w:bCs/>
          <w:sz w:val="18"/>
          <w:szCs w:val="18"/>
        </w:rPr>
        <w:t>C-1 Formación y Experiencia</w:t>
      </w:r>
      <w:r w:rsidRPr="00622691">
        <w:rPr>
          <w:rFonts w:ascii="Century Gothic" w:hAnsi="Century Gothic" w:cs="Calibri"/>
          <w:bCs/>
          <w:sz w:val="18"/>
          <w:szCs w:val="18"/>
        </w:rPr>
        <w:t>.</w:t>
      </w:r>
    </w:p>
    <w:p w:rsidR="001307AF" w:rsidRPr="00622691" w:rsidRDefault="001307AF" w:rsidP="001307AF">
      <w:pPr>
        <w:ind w:left="1418"/>
        <w:jc w:val="both"/>
        <w:rPr>
          <w:rFonts w:ascii="Century Gothic" w:hAnsi="Century Gothic" w:cs="Calibri"/>
          <w:bCs/>
          <w:sz w:val="18"/>
          <w:szCs w:val="18"/>
        </w:rPr>
      </w:pPr>
    </w:p>
    <w:p w:rsidR="001307AF" w:rsidRPr="006042D6" w:rsidRDefault="001307AF" w:rsidP="001307AF">
      <w:pPr>
        <w:ind w:left="708"/>
        <w:jc w:val="both"/>
        <w:rPr>
          <w:rFonts w:ascii="Century Gothic" w:hAnsi="Century Gothic" w:cs="Calibri"/>
          <w:b/>
          <w:bCs/>
          <w:color w:val="5F497A"/>
          <w:sz w:val="18"/>
          <w:szCs w:val="18"/>
        </w:rPr>
      </w:pPr>
      <w:r w:rsidRPr="00622691">
        <w:rPr>
          <w:rFonts w:ascii="Century Gothic" w:hAnsi="Century Gothic" w:cs="Calibri"/>
          <w:bCs/>
          <w:color w:val="000000"/>
          <w:sz w:val="18"/>
          <w:szCs w:val="18"/>
        </w:rPr>
        <w:t xml:space="preserve">La experiencia </w:t>
      </w:r>
      <w:r w:rsidRPr="00DA4AD6">
        <w:rPr>
          <w:rFonts w:ascii="Century Gothic" w:hAnsi="Century Gothic" w:cs="Calibri"/>
          <w:bCs/>
          <w:color w:val="000000"/>
          <w:sz w:val="18"/>
          <w:szCs w:val="18"/>
        </w:rPr>
        <w:t>específica</w:t>
      </w:r>
      <w:r w:rsidRPr="00622691">
        <w:rPr>
          <w:rFonts w:ascii="Century Gothic" w:hAnsi="Century Gothic" w:cs="Calibri"/>
          <w:bCs/>
          <w:color w:val="000000"/>
          <w:sz w:val="18"/>
          <w:szCs w:val="18"/>
        </w:rPr>
        <w:t xml:space="preserve"> </w:t>
      </w:r>
      <w:r>
        <w:rPr>
          <w:rFonts w:ascii="Century Gothic" w:hAnsi="Century Gothic" w:cs="Calibri"/>
          <w:bCs/>
          <w:color w:val="000000"/>
          <w:sz w:val="18"/>
          <w:szCs w:val="18"/>
        </w:rPr>
        <w:t xml:space="preserve">deberán </w:t>
      </w:r>
      <w:r w:rsidRPr="00622691">
        <w:rPr>
          <w:rFonts w:ascii="Century Gothic" w:hAnsi="Century Gothic" w:cs="Calibri"/>
          <w:bCs/>
          <w:color w:val="000000"/>
          <w:sz w:val="18"/>
          <w:szCs w:val="18"/>
        </w:rPr>
        <w:t>ser acreditadas por certificados de trabajo, cartas u otros en fotocopia, los mismos deben indicar la fecha de inicio y fecha de conclusión del trabajo o servicio de consultoría, o memorándums de designación y/o cesación de funciones.</w:t>
      </w:r>
      <w:r w:rsidR="00975D66">
        <w:rPr>
          <w:rFonts w:ascii="Century Gothic" w:hAnsi="Century Gothic" w:cs="Calibri"/>
          <w:bCs/>
          <w:color w:val="000000"/>
          <w:sz w:val="18"/>
          <w:szCs w:val="18"/>
        </w:rPr>
        <w:t xml:space="preserve"> Si corresponde.</w:t>
      </w:r>
    </w:p>
    <w:p w:rsidR="000C69B7" w:rsidRPr="006042D6" w:rsidRDefault="000C69B7" w:rsidP="00515BDD">
      <w:pPr>
        <w:pStyle w:val="Prrafodelista"/>
        <w:ind w:left="1776"/>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975D66"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22 días</w:t>
      </w:r>
      <w:r w:rsidR="00FE0B22">
        <w:rPr>
          <w:rFonts w:ascii="Century Gothic" w:hAnsi="Century Gothic" w:cs="Calibri"/>
          <w:bCs/>
          <w:color w:val="000000"/>
          <w:sz w:val="18"/>
          <w:szCs w:val="18"/>
        </w:rPr>
        <w:t xml:space="preserve"> a </w:t>
      </w:r>
      <w:r w:rsidR="00E82392" w:rsidRPr="006042D6">
        <w:rPr>
          <w:rFonts w:ascii="Century Gothic" w:hAnsi="Century Gothic" w:cs="Calibri"/>
          <w:bCs/>
          <w:color w:val="000000"/>
          <w:sz w:val="18"/>
          <w:szCs w:val="18"/>
        </w:rPr>
        <w:t>partir del día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B56F28">
        <w:rPr>
          <w:rFonts w:ascii="Century Gothic" w:hAnsi="Century Gothic" w:cs="Calibri"/>
          <w:b/>
          <w:bCs/>
          <w:color w:val="5F497A"/>
          <w:sz w:val="20"/>
          <w:szCs w:val="20"/>
        </w:rPr>
        <w:t>Sueldo</w:t>
      </w:r>
    </w:p>
    <w:p w:rsidR="006042D6" w:rsidRPr="006D4A58" w:rsidRDefault="006042D6" w:rsidP="00515BDD">
      <w:pPr>
        <w:ind w:firstLine="708"/>
        <w:jc w:val="both"/>
        <w:rPr>
          <w:rFonts w:ascii="Century Gothic" w:hAnsi="Century Gothic" w:cs="Calibri"/>
          <w:bCs/>
          <w:color w:val="000000"/>
          <w:sz w:val="14"/>
          <w:szCs w:val="18"/>
        </w:rPr>
      </w:pPr>
    </w:p>
    <w:p w:rsidR="00B56F28" w:rsidRDefault="00B56F28" w:rsidP="00B56F28">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6042D6" w:rsidRDefault="00023896" w:rsidP="00515BDD">
      <w:pPr>
        <w:jc w:val="both"/>
        <w:rPr>
          <w:rFonts w:ascii="Century Gothic" w:hAnsi="Century Gothic" w:cs="Calibri"/>
          <w:b/>
          <w:bCs/>
          <w:color w:val="5F497A"/>
          <w:sz w:val="18"/>
          <w:szCs w:val="18"/>
        </w:rPr>
      </w:pPr>
      <w:bookmarkStart w:id="0" w:name="_GoBack"/>
      <w:bookmarkEnd w:id="0"/>
      <w:r w:rsidRPr="006042D6">
        <w:rPr>
          <w:rFonts w:ascii="Century Gothic" w:hAnsi="Century Gothic" w:cs="Calibri"/>
          <w:b/>
          <w:bCs/>
          <w:color w:val="5F497A"/>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8342ED" w:rsidRPr="006D4A58" w:rsidRDefault="005669DB" w:rsidP="001307AF">
      <w:pPr>
        <w:shd w:val="clear" w:color="auto" w:fill="F2DBDB"/>
        <w:ind w:left="708"/>
        <w:jc w:val="both"/>
        <w:rPr>
          <w:rFonts w:ascii="Century Gothic" w:hAnsi="Century Gothic" w:cs="Calibri"/>
          <w:bCs/>
          <w:color w:val="000000"/>
          <w:sz w:val="14"/>
          <w:szCs w:val="18"/>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1307AF" w:rsidRPr="001307AF">
        <w:rPr>
          <w:rFonts w:ascii="Century Gothic" w:hAnsi="Century Gothic" w:cs="Calibri"/>
          <w:b/>
          <w:bCs/>
          <w:color w:val="5F497A"/>
          <w:sz w:val="20"/>
          <w:szCs w:val="20"/>
        </w:rPr>
        <w:t>Lugar de prestación del servicio</w:t>
      </w: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F62719">
        <w:rPr>
          <w:rFonts w:ascii="Century Gothic" w:hAnsi="Century Gothic" w:cs="Calibri"/>
          <w:bCs/>
          <w:color w:val="000000"/>
          <w:sz w:val="18"/>
          <w:szCs w:val="18"/>
        </w:rPr>
        <w:t>sus actividade</w:t>
      </w:r>
      <w:r w:rsidR="00627072" w:rsidRPr="00F62719">
        <w:rPr>
          <w:rFonts w:ascii="Century Gothic" w:hAnsi="Century Gothic" w:cs="Calibri"/>
          <w:bCs/>
          <w:color w:val="000000"/>
          <w:sz w:val="18"/>
          <w:szCs w:val="18"/>
        </w:rPr>
        <w:t>s laborales, en dependencias del</w:t>
      </w:r>
      <w:r w:rsidRPr="00F62719">
        <w:rPr>
          <w:rFonts w:ascii="Century Gothic" w:hAnsi="Century Gothic" w:cs="Calibri"/>
          <w:bCs/>
          <w:color w:val="000000"/>
          <w:sz w:val="18"/>
          <w:szCs w:val="18"/>
        </w:rPr>
        <w:t xml:space="preserve"> </w:t>
      </w:r>
      <w:r w:rsidR="00FE0B22" w:rsidRPr="00F62719">
        <w:rPr>
          <w:rFonts w:ascii="Century Gothic" w:hAnsi="Century Gothic" w:cs="Calibri"/>
          <w:bCs/>
          <w:color w:val="000000"/>
          <w:sz w:val="18"/>
          <w:szCs w:val="18"/>
        </w:rPr>
        <w:t>Servicio de Registro Cívico</w:t>
      </w:r>
      <w:r w:rsidR="00F62719">
        <w:rPr>
          <w:rFonts w:ascii="Century Gothic" w:hAnsi="Century Gothic" w:cs="Calibri"/>
          <w:bCs/>
          <w:color w:val="000000"/>
          <w:sz w:val="18"/>
          <w:szCs w:val="18"/>
        </w:rPr>
        <w:t xml:space="preserve"> </w:t>
      </w:r>
      <w:r w:rsidR="00AF55B1">
        <w:rPr>
          <w:rFonts w:ascii="Century Gothic" w:hAnsi="Century Gothic" w:cs="Calibri"/>
          <w:bCs/>
          <w:color w:val="000000"/>
          <w:sz w:val="18"/>
          <w:szCs w:val="18"/>
        </w:rPr>
        <w:t>Oruro</w:t>
      </w:r>
      <w:r w:rsidR="00FE0B22" w:rsidRPr="008529DD">
        <w:rPr>
          <w:rFonts w:ascii="Century Gothic" w:hAnsi="Century Gothic" w:cs="Calibri"/>
          <w:bCs/>
          <w:color w:val="000000"/>
          <w:sz w:val="18"/>
          <w:szCs w:val="18"/>
          <w:highlight w:val="yellow"/>
        </w:rPr>
        <w:t>,</w:t>
      </w:r>
      <w:r w:rsidR="00FE0B22">
        <w:rPr>
          <w:rFonts w:ascii="Century Gothic" w:hAnsi="Century Gothic" w:cs="Calibri"/>
          <w:bCs/>
          <w:color w:val="000000"/>
          <w:sz w:val="18"/>
          <w:szCs w:val="18"/>
        </w:rPr>
        <w:t xml:space="preserve"> con dedicación exclusiva y </w:t>
      </w:r>
      <w:r w:rsidR="00EB53FA" w:rsidRPr="006042D6">
        <w:rPr>
          <w:rFonts w:ascii="Century Gothic" w:hAnsi="Century Gothic" w:cs="Calibri"/>
          <w:bCs/>
          <w:color w:val="000000"/>
          <w:sz w:val="18"/>
          <w:szCs w:val="18"/>
        </w:rPr>
        <w:t>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1307AF" w:rsidRPr="001307AF" w:rsidRDefault="001307AF" w:rsidP="001307AF">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1307AF">
        <w:rPr>
          <w:rFonts w:ascii="Century Gothic" w:eastAsia="Calibri" w:hAnsi="Century Gothic" w:cs="Arial"/>
          <w:sz w:val="18"/>
          <w:szCs w:val="18"/>
          <w:lang w:eastAsia="en-US"/>
        </w:rPr>
        <w:t>El consultor deberá presentar un Informe Final respecto a la prestación del servicio.</w:t>
      </w:r>
    </w:p>
    <w:p w:rsidR="001307AF" w:rsidRPr="001307AF" w:rsidRDefault="001307AF" w:rsidP="001307AF">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1307AF">
        <w:rPr>
          <w:rFonts w:ascii="Century Gothic" w:eastAsia="Calibri" w:hAnsi="Century Gothic" w:cs="Arial"/>
          <w:sz w:val="18"/>
          <w:szCs w:val="18"/>
          <w:lang w:eastAsia="en-US"/>
        </w:rPr>
        <w:t>El plazo para la presentación del informe final es de (5) cinco días hábiles posteriores a la conclusión de la prestación del servicio de consultoría.</w:t>
      </w:r>
    </w:p>
    <w:p w:rsidR="001307AF" w:rsidRPr="001307AF" w:rsidRDefault="001307AF" w:rsidP="001307AF">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1307AF">
        <w:rPr>
          <w:rFonts w:ascii="Century Gothic" w:eastAsia="Calibri" w:hAnsi="Century Gothic" w:cs="Arial"/>
          <w:sz w:val="18"/>
          <w:szCs w:val="18"/>
          <w:lang w:eastAsia="en-US"/>
        </w:rPr>
        <w:t>Se requerirá conformidad de la Contraparte o Responsable de recepción,  para efectuar el pago.</w:t>
      </w:r>
    </w:p>
    <w:p w:rsidR="002F30ED" w:rsidRPr="006042D6" w:rsidRDefault="002F30ED" w:rsidP="00515BDD">
      <w:pPr>
        <w:jc w:val="both"/>
        <w:rPr>
          <w:rFonts w:ascii="Century Gothic" w:hAnsi="Century Gothic" w:cs="Calibri"/>
          <w:b/>
          <w:bCs/>
          <w:color w:val="5F497A"/>
          <w:sz w:val="18"/>
          <w:szCs w:val="18"/>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1467E1">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0460FB" w:rsidRPr="006D4A58" w:rsidRDefault="000460FB" w:rsidP="000460FB">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1307AF" w:rsidRPr="006042D6" w:rsidRDefault="001307AF" w:rsidP="001307AF">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 xml:space="preserve">La Contraparte </w:t>
      </w:r>
      <w:r>
        <w:rPr>
          <w:rFonts w:ascii="Century Gothic" w:eastAsia="Calibri" w:hAnsi="Century Gothic" w:cs="Arial"/>
          <w:color w:val="000000"/>
          <w:sz w:val="18"/>
          <w:szCs w:val="18"/>
          <w:lang w:eastAsia="en-US"/>
        </w:rPr>
        <w:t xml:space="preserve">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Servicio de Registro Cívico</w:t>
      </w:r>
      <w:r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1307AF" w:rsidRPr="006042D6" w:rsidRDefault="001307AF" w:rsidP="001307AF">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1307AF" w:rsidRPr="006042D6" w:rsidRDefault="001307AF" w:rsidP="001307AF">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1307AF" w:rsidRPr="006042D6" w:rsidRDefault="001307AF" w:rsidP="001307AF">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Pr>
          <w:rFonts w:ascii="Century Gothic" w:eastAsia="Calibri" w:hAnsi="Century Gothic" w:cs="Arial"/>
          <w:color w:val="000000"/>
          <w:sz w:val="18"/>
          <w:szCs w:val="18"/>
          <w:lang w:eastAsia="en-US"/>
        </w:rPr>
        <w:t>.</w:t>
      </w:r>
    </w:p>
    <w:p w:rsidR="001307AF" w:rsidRDefault="001307AF" w:rsidP="001307AF">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del servicio de la consulto</w:t>
      </w:r>
      <w:r w:rsidRPr="00912148">
        <w:rPr>
          <w:rFonts w:ascii="Century Gothic" w:eastAsia="Calibri" w:hAnsi="Century Gothic" w:cs="Arial"/>
          <w:color w:val="000000"/>
          <w:sz w:val="18"/>
          <w:szCs w:val="18"/>
          <w:lang w:eastAsia="en-US"/>
        </w:rPr>
        <w:t>ría</w:t>
      </w:r>
    </w:p>
    <w:p w:rsidR="001307AF" w:rsidRDefault="001307AF" w:rsidP="00FE0B22">
      <w:pPr>
        <w:autoSpaceDE w:val="0"/>
        <w:autoSpaceDN w:val="0"/>
        <w:adjustRightInd w:val="0"/>
        <w:jc w:val="both"/>
        <w:rPr>
          <w:rFonts w:ascii="Century Gothic" w:hAnsi="Century Gothic" w:cs="Calibri"/>
          <w:color w:val="000000"/>
          <w:sz w:val="18"/>
          <w:szCs w:val="18"/>
        </w:rPr>
      </w:pPr>
    </w:p>
    <w:p w:rsidR="00FE0B22" w:rsidRPr="006042D6" w:rsidRDefault="00FE0B22" w:rsidP="00FE0B22">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FE0B22" w:rsidRPr="006042D6" w:rsidRDefault="00FE0B22" w:rsidP="00FE0B22">
      <w:pPr>
        <w:autoSpaceDE w:val="0"/>
        <w:autoSpaceDN w:val="0"/>
        <w:adjustRightInd w:val="0"/>
        <w:jc w:val="both"/>
        <w:rPr>
          <w:rFonts w:ascii="Century Gothic" w:hAnsi="Century Gothic" w:cs="Calibri"/>
          <w:color w:val="000000"/>
          <w:sz w:val="18"/>
          <w:szCs w:val="18"/>
        </w:rPr>
      </w:pPr>
    </w:p>
    <w:p w:rsidR="00F62719" w:rsidRDefault="00F62719" w:rsidP="00FE0B22">
      <w:pPr>
        <w:autoSpaceDE w:val="0"/>
        <w:autoSpaceDN w:val="0"/>
        <w:adjustRightInd w:val="0"/>
        <w:jc w:val="both"/>
        <w:rPr>
          <w:rFonts w:ascii="Century Gothic" w:hAnsi="Century Gothic" w:cs="Calibri"/>
          <w:color w:val="000000"/>
          <w:sz w:val="18"/>
          <w:szCs w:val="18"/>
        </w:rPr>
      </w:pPr>
    </w:p>
    <w:p w:rsidR="00F62719" w:rsidRDefault="00F62719" w:rsidP="00FE0B22">
      <w:pPr>
        <w:autoSpaceDE w:val="0"/>
        <w:autoSpaceDN w:val="0"/>
        <w:adjustRightInd w:val="0"/>
        <w:jc w:val="both"/>
        <w:rPr>
          <w:rFonts w:ascii="Century Gothic" w:hAnsi="Century Gothic" w:cs="Calibri"/>
          <w:color w:val="000000"/>
          <w:sz w:val="18"/>
          <w:szCs w:val="18"/>
        </w:rPr>
      </w:pPr>
    </w:p>
    <w:p w:rsidR="00F62719" w:rsidRDefault="00F62719" w:rsidP="00FE0B22">
      <w:pPr>
        <w:autoSpaceDE w:val="0"/>
        <w:autoSpaceDN w:val="0"/>
        <w:adjustRightInd w:val="0"/>
        <w:jc w:val="both"/>
        <w:rPr>
          <w:rFonts w:ascii="Century Gothic" w:hAnsi="Century Gothic" w:cs="Calibri"/>
          <w:color w:val="000000"/>
          <w:sz w:val="18"/>
          <w:szCs w:val="18"/>
        </w:rPr>
      </w:pPr>
    </w:p>
    <w:p w:rsidR="00F62719" w:rsidRDefault="00F62719" w:rsidP="00FE0B22">
      <w:pPr>
        <w:autoSpaceDE w:val="0"/>
        <w:autoSpaceDN w:val="0"/>
        <w:adjustRightInd w:val="0"/>
        <w:jc w:val="both"/>
        <w:rPr>
          <w:rFonts w:ascii="Century Gothic" w:hAnsi="Century Gothic" w:cs="Calibri"/>
          <w:color w:val="000000"/>
          <w:sz w:val="18"/>
          <w:szCs w:val="18"/>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F62719" w:rsidRDefault="00F62719" w:rsidP="005A3944">
      <w:pPr>
        <w:autoSpaceDE w:val="0"/>
        <w:autoSpaceDN w:val="0"/>
        <w:adjustRightInd w:val="0"/>
        <w:jc w:val="both"/>
        <w:rPr>
          <w:rFonts w:ascii="Century Gothic" w:hAnsi="Century Gothic" w:cs="Calibri"/>
          <w:color w:val="000000"/>
          <w:sz w:val="18"/>
          <w:szCs w:val="18"/>
        </w:rPr>
      </w:pPr>
    </w:p>
    <w:p w:rsidR="00F62719" w:rsidRDefault="00F62719" w:rsidP="005A3944">
      <w:pPr>
        <w:autoSpaceDE w:val="0"/>
        <w:autoSpaceDN w:val="0"/>
        <w:adjustRightInd w:val="0"/>
        <w:jc w:val="both"/>
        <w:rPr>
          <w:rFonts w:ascii="Century Gothic" w:hAnsi="Century Gothic" w:cs="Calibri"/>
          <w:color w:val="000000"/>
          <w:sz w:val="18"/>
          <w:szCs w:val="18"/>
        </w:rPr>
      </w:pPr>
    </w:p>
    <w:p w:rsidR="00F62719" w:rsidRDefault="00F62719" w:rsidP="005A3944">
      <w:pPr>
        <w:autoSpaceDE w:val="0"/>
        <w:autoSpaceDN w:val="0"/>
        <w:adjustRightInd w:val="0"/>
        <w:jc w:val="both"/>
        <w:rPr>
          <w:rFonts w:ascii="Century Gothic" w:hAnsi="Century Gothic" w:cs="Calibri"/>
          <w:color w:val="000000"/>
          <w:sz w:val="18"/>
          <w:szCs w:val="18"/>
        </w:rPr>
      </w:pPr>
    </w:p>
    <w:p w:rsidR="00F62719" w:rsidRDefault="00F62719" w:rsidP="005A3944">
      <w:pPr>
        <w:autoSpaceDE w:val="0"/>
        <w:autoSpaceDN w:val="0"/>
        <w:adjustRightInd w:val="0"/>
        <w:jc w:val="both"/>
        <w:rPr>
          <w:rFonts w:ascii="Century Gothic" w:hAnsi="Century Gothic" w:cs="Calibri"/>
          <w:color w:val="000000"/>
          <w:sz w:val="18"/>
          <w:szCs w:val="18"/>
        </w:rPr>
      </w:pPr>
    </w:p>
    <w:p w:rsidR="00F62719" w:rsidRDefault="00F62719"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F3051C">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1467E1">
      <w:headerReference w:type="default" r:id="rId8"/>
      <w:pgSz w:w="11906" w:h="16838"/>
      <w:pgMar w:top="1985"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BA" w:rsidRDefault="00E87ABA" w:rsidP="0043787D">
      <w:r>
        <w:separator/>
      </w:r>
    </w:p>
  </w:endnote>
  <w:endnote w:type="continuationSeparator" w:id="0">
    <w:p w:rsidR="00E87ABA" w:rsidRDefault="00E87ABA"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BA" w:rsidRDefault="00E87ABA" w:rsidP="0043787D">
      <w:r>
        <w:separator/>
      </w:r>
    </w:p>
  </w:footnote>
  <w:footnote w:type="continuationSeparator" w:id="0">
    <w:p w:rsidR="00E87ABA" w:rsidRDefault="00E87ABA"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975D66" w:rsidP="00975D66">
    <w:pPr>
      <w:pStyle w:val="Encabezado"/>
      <w:jc w:val="center"/>
    </w:pPr>
    <w:r>
      <w:rPr>
        <w:noProof/>
        <w:lang w:val="es-BO" w:eastAsia="es-BO"/>
      </w:rPr>
      <w:drawing>
        <wp:inline distT="0" distB="0" distL="0" distR="0" wp14:anchorId="1C5CC2F3" wp14:editId="2DAF9E59">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975D66" w:rsidRDefault="00975D66" w:rsidP="00975D66">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E522D44"/>
    <w:multiLevelType w:val="hybridMultilevel"/>
    <w:tmpl w:val="65362C58"/>
    <w:lvl w:ilvl="0" w:tplc="98E404E8">
      <w:start w:val="1"/>
      <w:numFmt w:val="bullet"/>
      <w:lvlText w:val="-"/>
      <w:lvlJc w:val="left"/>
      <w:pPr>
        <w:ind w:left="2138"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4"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6"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19"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0"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2"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4"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7"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3"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4"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5"/>
  </w:num>
  <w:num w:numId="3">
    <w:abstractNumId w:val="18"/>
  </w:num>
  <w:num w:numId="4">
    <w:abstractNumId w:val="30"/>
  </w:num>
  <w:num w:numId="5">
    <w:abstractNumId w:val="0"/>
  </w:num>
  <w:num w:numId="6">
    <w:abstractNumId w:val="33"/>
  </w:num>
  <w:num w:numId="7">
    <w:abstractNumId w:val="7"/>
  </w:num>
  <w:num w:numId="8">
    <w:abstractNumId w:val="1"/>
  </w:num>
  <w:num w:numId="9">
    <w:abstractNumId w:val="14"/>
  </w:num>
  <w:num w:numId="10">
    <w:abstractNumId w:val="22"/>
  </w:num>
  <w:num w:numId="11">
    <w:abstractNumId w:val="9"/>
  </w:num>
  <w:num w:numId="12">
    <w:abstractNumId w:val="34"/>
  </w:num>
  <w:num w:numId="13">
    <w:abstractNumId w:val="16"/>
  </w:num>
  <w:num w:numId="14">
    <w:abstractNumId w:val="8"/>
  </w:num>
  <w:num w:numId="15">
    <w:abstractNumId w:val="24"/>
  </w:num>
  <w:num w:numId="16">
    <w:abstractNumId w:val="6"/>
  </w:num>
  <w:num w:numId="17">
    <w:abstractNumId w:val="17"/>
  </w:num>
  <w:num w:numId="18">
    <w:abstractNumId w:val="12"/>
  </w:num>
  <w:num w:numId="19">
    <w:abstractNumId w:val="31"/>
  </w:num>
  <w:num w:numId="20">
    <w:abstractNumId w:val="26"/>
  </w:num>
  <w:num w:numId="21">
    <w:abstractNumId w:val="21"/>
  </w:num>
  <w:num w:numId="22">
    <w:abstractNumId w:val="4"/>
  </w:num>
  <w:num w:numId="23">
    <w:abstractNumId w:val="27"/>
  </w:num>
  <w:num w:numId="24">
    <w:abstractNumId w:val="25"/>
  </w:num>
  <w:num w:numId="25">
    <w:abstractNumId w:val="13"/>
  </w:num>
  <w:num w:numId="26">
    <w:abstractNumId w:val="32"/>
  </w:num>
  <w:num w:numId="27">
    <w:abstractNumId w:val="10"/>
  </w:num>
  <w:num w:numId="28">
    <w:abstractNumId w:val="5"/>
  </w:num>
  <w:num w:numId="29">
    <w:abstractNumId w:val="19"/>
  </w:num>
  <w:num w:numId="30">
    <w:abstractNumId w:val="23"/>
  </w:num>
  <w:num w:numId="31">
    <w:abstractNumId w:val="11"/>
  </w:num>
  <w:num w:numId="32">
    <w:abstractNumId w:val="3"/>
  </w:num>
  <w:num w:numId="33">
    <w:abstractNumId w:val="29"/>
  </w:num>
  <w:num w:numId="34">
    <w:abstractNumId w:val="28"/>
  </w:num>
  <w:num w:numId="35">
    <w:abstractNumId w:val="20"/>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22196"/>
    <w:rsid w:val="00023896"/>
    <w:rsid w:val="00026E75"/>
    <w:rsid w:val="000337FB"/>
    <w:rsid w:val="000460FB"/>
    <w:rsid w:val="0006667F"/>
    <w:rsid w:val="000757E5"/>
    <w:rsid w:val="00082A79"/>
    <w:rsid w:val="000869EA"/>
    <w:rsid w:val="000B38A9"/>
    <w:rsid w:val="000C1447"/>
    <w:rsid w:val="000C69B7"/>
    <w:rsid w:val="000E2D12"/>
    <w:rsid w:val="000F3329"/>
    <w:rsid w:val="00103F14"/>
    <w:rsid w:val="00107170"/>
    <w:rsid w:val="00107C49"/>
    <w:rsid w:val="001261CB"/>
    <w:rsid w:val="001307AF"/>
    <w:rsid w:val="001467E1"/>
    <w:rsid w:val="001629F8"/>
    <w:rsid w:val="00170141"/>
    <w:rsid w:val="00176033"/>
    <w:rsid w:val="00196CB1"/>
    <w:rsid w:val="001A6109"/>
    <w:rsid w:val="001B6F67"/>
    <w:rsid w:val="001C4648"/>
    <w:rsid w:val="001C7BF1"/>
    <w:rsid w:val="001D3392"/>
    <w:rsid w:val="001D3E0C"/>
    <w:rsid w:val="001E2265"/>
    <w:rsid w:val="001E790A"/>
    <w:rsid w:val="001F3409"/>
    <w:rsid w:val="00210FE4"/>
    <w:rsid w:val="00220841"/>
    <w:rsid w:val="00222E34"/>
    <w:rsid w:val="002356E6"/>
    <w:rsid w:val="002429B6"/>
    <w:rsid w:val="00254418"/>
    <w:rsid w:val="002648F4"/>
    <w:rsid w:val="00273EF5"/>
    <w:rsid w:val="00274F7E"/>
    <w:rsid w:val="002778FF"/>
    <w:rsid w:val="0028585C"/>
    <w:rsid w:val="00296827"/>
    <w:rsid w:val="002A34A7"/>
    <w:rsid w:val="002C21ED"/>
    <w:rsid w:val="002C29C4"/>
    <w:rsid w:val="002C5108"/>
    <w:rsid w:val="002D4467"/>
    <w:rsid w:val="002D7CA7"/>
    <w:rsid w:val="002F2C5C"/>
    <w:rsid w:val="002F30ED"/>
    <w:rsid w:val="002F39AA"/>
    <w:rsid w:val="002F449C"/>
    <w:rsid w:val="002F636E"/>
    <w:rsid w:val="00300699"/>
    <w:rsid w:val="00300C82"/>
    <w:rsid w:val="00301837"/>
    <w:rsid w:val="00324B6D"/>
    <w:rsid w:val="00337CEA"/>
    <w:rsid w:val="00346296"/>
    <w:rsid w:val="00375B6B"/>
    <w:rsid w:val="00376E5F"/>
    <w:rsid w:val="003773AC"/>
    <w:rsid w:val="0038578A"/>
    <w:rsid w:val="00397A72"/>
    <w:rsid w:val="003A0F57"/>
    <w:rsid w:val="003C0961"/>
    <w:rsid w:val="003E2B48"/>
    <w:rsid w:val="003E4B25"/>
    <w:rsid w:val="003E693E"/>
    <w:rsid w:val="00417EB3"/>
    <w:rsid w:val="0043787D"/>
    <w:rsid w:val="00462B3F"/>
    <w:rsid w:val="004758E6"/>
    <w:rsid w:val="00475DDE"/>
    <w:rsid w:val="00486F9A"/>
    <w:rsid w:val="004B7F65"/>
    <w:rsid w:val="004C01F0"/>
    <w:rsid w:val="004C4303"/>
    <w:rsid w:val="004E0122"/>
    <w:rsid w:val="004E2C8D"/>
    <w:rsid w:val="004F3275"/>
    <w:rsid w:val="00515BDD"/>
    <w:rsid w:val="0052429E"/>
    <w:rsid w:val="005317D3"/>
    <w:rsid w:val="00537A51"/>
    <w:rsid w:val="00537AB5"/>
    <w:rsid w:val="00552F97"/>
    <w:rsid w:val="0056431E"/>
    <w:rsid w:val="005669DB"/>
    <w:rsid w:val="0057198F"/>
    <w:rsid w:val="005A3944"/>
    <w:rsid w:val="005A3DEF"/>
    <w:rsid w:val="005A6173"/>
    <w:rsid w:val="005B25F4"/>
    <w:rsid w:val="005B28D1"/>
    <w:rsid w:val="005B7777"/>
    <w:rsid w:val="005E1E1E"/>
    <w:rsid w:val="005E2F5E"/>
    <w:rsid w:val="006042D6"/>
    <w:rsid w:val="00622691"/>
    <w:rsid w:val="006249D8"/>
    <w:rsid w:val="00624DC5"/>
    <w:rsid w:val="00627072"/>
    <w:rsid w:val="00634452"/>
    <w:rsid w:val="00635A18"/>
    <w:rsid w:val="00643BD2"/>
    <w:rsid w:val="00656AD2"/>
    <w:rsid w:val="00667D6F"/>
    <w:rsid w:val="006837DC"/>
    <w:rsid w:val="006A0196"/>
    <w:rsid w:val="006A46A1"/>
    <w:rsid w:val="006B30F2"/>
    <w:rsid w:val="006D4A58"/>
    <w:rsid w:val="00703EA0"/>
    <w:rsid w:val="007147AB"/>
    <w:rsid w:val="00717B95"/>
    <w:rsid w:val="0072737E"/>
    <w:rsid w:val="00736CF1"/>
    <w:rsid w:val="00743565"/>
    <w:rsid w:val="00744C0D"/>
    <w:rsid w:val="007564B9"/>
    <w:rsid w:val="00763D65"/>
    <w:rsid w:val="0078541E"/>
    <w:rsid w:val="007A299F"/>
    <w:rsid w:val="007B54DF"/>
    <w:rsid w:val="007E6C04"/>
    <w:rsid w:val="007E7679"/>
    <w:rsid w:val="008018B7"/>
    <w:rsid w:val="0080196A"/>
    <w:rsid w:val="00810DE0"/>
    <w:rsid w:val="00810F1C"/>
    <w:rsid w:val="0082256B"/>
    <w:rsid w:val="0083047E"/>
    <w:rsid w:val="008334AE"/>
    <w:rsid w:val="008335D5"/>
    <w:rsid w:val="008342ED"/>
    <w:rsid w:val="008529DD"/>
    <w:rsid w:val="00865471"/>
    <w:rsid w:val="008810B7"/>
    <w:rsid w:val="0088727F"/>
    <w:rsid w:val="00887C84"/>
    <w:rsid w:val="008B4DA1"/>
    <w:rsid w:val="009076CE"/>
    <w:rsid w:val="009079DC"/>
    <w:rsid w:val="00913BCC"/>
    <w:rsid w:val="0091411F"/>
    <w:rsid w:val="00916DE8"/>
    <w:rsid w:val="009238D4"/>
    <w:rsid w:val="0093411F"/>
    <w:rsid w:val="009508C4"/>
    <w:rsid w:val="00971FFF"/>
    <w:rsid w:val="00974209"/>
    <w:rsid w:val="00975D66"/>
    <w:rsid w:val="009831BF"/>
    <w:rsid w:val="00997FC2"/>
    <w:rsid w:val="009A0986"/>
    <w:rsid w:val="009A1225"/>
    <w:rsid w:val="009C24E3"/>
    <w:rsid w:val="009C6922"/>
    <w:rsid w:val="009E2705"/>
    <w:rsid w:val="009F49F4"/>
    <w:rsid w:val="009F7243"/>
    <w:rsid w:val="00A021D0"/>
    <w:rsid w:val="00A024CE"/>
    <w:rsid w:val="00A05203"/>
    <w:rsid w:val="00A23406"/>
    <w:rsid w:val="00A36E6E"/>
    <w:rsid w:val="00A37126"/>
    <w:rsid w:val="00A37F3F"/>
    <w:rsid w:val="00A40382"/>
    <w:rsid w:val="00A427AD"/>
    <w:rsid w:val="00A511F7"/>
    <w:rsid w:val="00A54B87"/>
    <w:rsid w:val="00A6214D"/>
    <w:rsid w:val="00A64B31"/>
    <w:rsid w:val="00A77A5C"/>
    <w:rsid w:val="00A828F7"/>
    <w:rsid w:val="00A83264"/>
    <w:rsid w:val="00AD17A7"/>
    <w:rsid w:val="00AE5654"/>
    <w:rsid w:val="00AF55B1"/>
    <w:rsid w:val="00B0167E"/>
    <w:rsid w:val="00B56750"/>
    <w:rsid w:val="00B56F28"/>
    <w:rsid w:val="00B57218"/>
    <w:rsid w:val="00B737C7"/>
    <w:rsid w:val="00B76231"/>
    <w:rsid w:val="00B77010"/>
    <w:rsid w:val="00B81986"/>
    <w:rsid w:val="00B84BB6"/>
    <w:rsid w:val="00B86A18"/>
    <w:rsid w:val="00B9522B"/>
    <w:rsid w:val="00BC2A6C"/>
    <w:rsid w:val="00BD1A12"/>
    <w:rsid w:val="00BF0E2E"/>
    <w:rsid w:val="00C01ADB"/>
    <w:rsid w:val="00C04426"/>
    <w:rsid w:val="00C45D57"/>
    <w:rsid w:val="00C45EED"/>
    <w:rsid w:val="00C47794"/>
    <w:rsid w:val="00C609FA"/>
    <w:rsid w:val="00C650B8"/>
    <w:rsid w:val="00C65B3E"/>
    <w:rsid w:val="00C74C76"/>
    <w:rsid w:val="00C80466"/>
    <w:rsid w:val="00CA527A"/>
    <w:rsid w:val="00CC5FF0"/>
    <w:rsid w:val="00CC7B75"/>
    <w:rsid w:val="00CD606A"/>
    <w:rsid w:val="00CD6848"/>
    <w:rsid w:val="00D028ED"/>
    <w:rsid w:val="00D11C80"/>
    <w:rsid w:val="00D127C6"/>
    <w:rsid w:val="00D12E38"/>
    <w:rsid w:val="00D131A2"/>
    <w:rsid w:val="00D244CE"/>
    <w:rsid w:val="00D42FB3"/>
    <w:rsid w:val="00D6012E"/>
    <w:rsid w:val="00D6172F"/>
    <w:rsid w:val="00D70674"/>
    <w:rsid w:val="00D70A61"/>
    <w:rsid w:val="00D721B3"/>
    <w:rsid w:val="00D95792"/>
    <w:rsid w:val="00DB6244"/>
    <w:rsid w:val="00DC7112"/>
    <w:rsid w:val="00DD2277"/>
    <w:rsid w:val="00DE0265"/>
    <w:rsid w:val="00DE22C5"/>
    <w:rsid w:val="00DE318A"/>
    <w:rsid w:val="00E10C01"/>
    <w:rsid w:val="00E351CF"/>
    <w:rsid w:val="00E467A4"/>
    <w:rsid w:val="00E526FF"/>
    <w:rsid w:val="00E63EB1"/>
    <w:rsid w:val="00E7501B"/>
    <w:rsid w:val="00E82392"/>
    <w:rsid w:val="00E87ABA"/>
    <w:rsid w:val="00E96E37"/>
    <w:rsid w:val="00EA51D7"/>
    <w:rsid w:val="00EB0F74"/>
    <w:rsid w:val="00EB17F4"/>
    <w:rsid w:val="00EB2220"/>
    <w:rsid w:val="00EB53FA"/>
    <w:rsid w:val="00EB595B"/>
    <w:rsid w:val="00EC2F2F"/>
    <w:rsid w:val="00EE6B9D"/>
    <w:rsid w:val="00EF30C9"/>
    <w:rsid w:val="00F0226F"/>
    <w:rsid w:val="00F11361"/>
    <w:rsid w:val="00F125A9"/>
    <w:rsid w:val="00F23352"/>
    <w:rsid w:val="00F3051C"/>
    <w:rsid w:val="00F37685"/>
    <w:rsid w:val="00F41F4D"/>
    <w:rsid w:val="00F443CC"/>
    <w:rsid w:val="00F51E39"/>
    <w:rsid w:val="00F62719"/>
    <w:rsid w:val="00F663D5"/>
    <w:rsid w:val="00F91435"/>
    <w:rsid w:val="00F92650"/>
    <w:rsid w:val="00F93CB2"/>
    <w:rsid w:val="00F9471D"/>
    <w:rsid w:val="00FA5B44"/>
    <w:rsid w:val="00FB132C"/>
    <w:rsid w:val="00FD1B1F"/>
    <w:rsid w:val="00FD794F"/>
    <w:rsid w:val="00FE0B22"/>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82316-B70F-4617-BAD8-3B59D332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787745997">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470321876">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5781-8820-456A-B368-1AF6CCEE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999</Words>
  <Characters>5499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4</cp:revision>
  <cp:lastPrinted>2015-11-07T16:06:00Z</cp:lastPrinted>
  <dcterms:created xsi:type="dcterms:W3CDTF">2020-01-07T16:36:00Z</dcterms:created>
  <dcterms:modified xsi:type="dcterms:W3CDTF">2020-01-07T23:37:00Z</dcterms:modified>
  <cp:category>Modelos</cp:category>
  <cp:contentStatus>Vidente 2011</cp:contentStatus>
</cp:coreProperties>
</file>